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301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80" w:lineRule="auto"/>
        <w:ind w:right="301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80" w:lineRule="auto"/>
        <w:ind w:right="301" w:firstLine="0"/>
        <w:jc w:val="center"/>
        <w:rPr/>
      </w:pPr>
      <w:r w:rsidDel="00000000" w:rsidR="00000000" w:rsidRPr="00000000">
        <w:rPr>
          <w:rtl w:val="0"/>
        </w:rPr>
        <w:t xml:space="preserve">ANEXO V – PLANILHA ORÇAMENTÁRIA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4" w:right="714" w:firstLine="2.0000000000000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planilha é digital, acesse o link da página: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7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https://pjf.mg.gov.br/editaismurilomendes2024/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direcione para a aba Programa Cultural Murilo Mendes, Editais 2024.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319" w:right="65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Murilão e clique no “botão”, denominado Planilha Orçamentária</w:t>
      </w:r>
    </w:p>
    <w:sectPr>
      <w:headerReference r:id="rId8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1371600</wp:posOffset>
          </wp:positionH>
          <wp:positionV relativeFrom="paragraph">
            <wp:posOffset>103506</wp:posOffset>
          </wp:positionV>
          <wp:extent cx="2878138" cy="734305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jf.mg.gov.br/editaismurilomendes2024/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SMqQMy9H2P92LQeaq6pvOh4fTw==">CgMxLjA4AHIhMXBBNE53bUFXRnpicGFXWXBFS2FmYnpKNXhyYmZ6OG1E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