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96CAC" w14:textId="77777777" w:rsidR="00FC59B3" w:rsidRDefault="00AC42BB">
      <w:pPr>
        <w:pBdr>
          <w:top w:val="nil"/>
          <w:left w:val="nil"/>
          <w:bottom w:val="nil"/>
          <w:right w:val="nil"/>
          <w:between w:val="nil"/>
        </w:pBdr>
        <w:tabs>
          <w:tab w:val="left" w:pos="5224"/>
        </w:tabs>
        <w:spacing w:before="3"/>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rPr>
        <w:tab/>
      </w:r>
    </w:p>
    <w:p w14:paraId="08D1E753" w14:textId="77777777" w:rsidR="00A479F8" w:rsidRPr="00BA3C5D" w:rsidRDefault="00A479F8" w:rsidP="00A479F8">
      <w:pPr>
        <w:widowControl/>
        <w:spacing w:after="160" w:line="259" w:lineRule="auto"/>
        <w:jc w:val="center"/>
        <w:rPr>
          <w:rFonts w:asciiTheme="majorHAnsi" w:hAnsiTheme="majorHAnsi" w:cstheme="majorHAnsi"/>
          <w:b/>
          <w:sz w:val="28"/>
          <w:szCs w:val="28"/>
        </w:rPr>
      </w:pPr>
      <w:r w:rsidRPr="00BA3C5D">
        <w:rPr>
          <w:rFonts w:asciiTheme="majorHAnsi" w:hAnsiTheme="majorHAnsi" w:cstheme="majorHAnsi"/>
          <w:b/>
          <w:sz w:val="28"/>
          <w:szCs w:val="28"/>
        </w:rPr>
        <w:t>LISTA DE VERIFICAÇÃO</w:t>
      </w:r>
    </w:p>
    <w:p w14:paraId="66C43575" w14:textId="77777777" w:rsidR="00FC59B3" w:rsidRDefault="00FC59B3">
      <w:pPr>
        <w:pBdr>
          <w:top w:val="nil"/>
          <w:left w:val="nil"/>
          <w:bottom w:val="nil"/>
          <w:right w:val="nil"/>
          <w:between w:val="nil"/>
        </w:pBdr>
        <w:rPr>
          <w:b/>
          <w:color w:val="000000"/>
          <w:sz w:val="20"/>
          <w:szCs w:val="20"/>
        </w:rPr>
      </w:pPr>
    </w:p>
    <w:p w14:paraId="1043C31E" w14:textId="77777777" w:rsidR="00FC59B3" w:rsidRDefault="00FC59B3">
      <w:pPr>
        <w:pBdr>
          <w:top w:val="nil"/>
          <w:left w:val="nil"/>
          <w:bottom w:val="nil"/>
          <w:right w:val="nil"/>
          <w:between w:val="nil"/>
        </w:pBdr>
        <w:jc w:val="center"/>
        <w:rPr>
          <w:b/>
          <w:color w:val="000000"/>
          <w:sz w:val="20"/>
          <w:szCs w:val="20"/>
        </w:rPr>
      </w:pPr>
    </w:p>
    <w:p w14:paraId="12A101CF" w14:textId="110FC375" w:rsidR="00FC59B3" w:rsidRDefault="00812FD3">
      <w:pPr>
        <w:pBdr>
          <w:top w:val="nil"/>
          <w:left w:val="nil"/>
          <w:bottom w:val="nil"/>
          <w:right w:val="nil"/>
          <w:between w:val="nil"/>
        </w:pBdr>
        <w:jc w:val="center"/>
        <w:rPr>
          <w:b/>
          <w:color w:val="000000"/>
          <w:sz w:val="28"/>
          <w:szCs w:val="28"/>
        </w:rPr>
      </w:pPr>
      <w:r>
        <w:rPr>
          <w:b/>
          <w:color w:val="000000"/>
          <w:sz w:val="28"/>
          <w:szCs w:val="28"/>
          <w:u w:val="single"/>
        </w:rPr>
        <w:t>Repactuação</w:t>
      </w:r>
    </w:p>
    <w:p w14:paraId="45CF269C" w14:textId="77777777" w:rsidR="00FC59B3" w:rsidRDefault="00FC59B3">
      <w:pPr>
        <w:pBdr>
          <w:top w:val="nil"/>
          <w:left w:val="nil"/>
          <w:bottom w:val="nil"/>
          <w:right w:val="nil"/>
          <w:between w:val="nil"/>
        </w:pBdr>
        <w:rPr>
          <w:b/>
          <w:color w:val="000000"/>
          <w:sz w:val="20"/>
          <w:szCs w:val="20"/>
        </w:rPr>
      </w:pPr>
    </w:p>
    <w:p w14:paraId="34D92BC9" w14:textId="0A719C95" w:rsidR="00812FD3" w:rsidRDefault="00812FD3" w:rsidP="00812FD3"/>
    <w:p w14:paraId="5B32A810" w14:textId="77777777" w:rsidR="00812FD3" w:rsidRDefault="00812FD3" w:rsidP="00812FD3">
      <w:pPr>
        <w:pBdr>
          <w:top w:val="nil"/>
          <w:left w:val="nil"/>
          <w:bottom w:val="nil"/>
          <w:right w:val="nil"/>
          <w:between w:val="nil"/>
        </w:pBdr>
        <w:rPr>
          <w:b/>
          <w:color w:val="000000"/>
          <w:sz w:val="20"/>
          <w:szCs w:val="20"/>
        </w:rPr>
      </w:pPr>
    </w:p>
    <w:p w14:paraId="416641CF" w14:textId="77777777" w:rsidR="00812FD3" w:rsidRDefault="00812FD3" w:rsidP="00812FD3">
      <w:pPr>
        <w:pBdr>
          <w:top w:val="nil"/>
          <w:left w:val="nil"/>
          <w:bottom w:val="nil"/>
          <w:right w:val="nil"/>
          <w:between w:val="nil"/>
        </w:pBdr>
        <w:spacing w:before="1"/>
        <w:rPr>
          <w:b/>
          <w:color w:val="000000"/>
          <w:sz w:val="15"/>
          <w:szCs w:val="15"/>
        </w:rPr>
      </w:pPr>
      <w:r w:rsidRPr="00BA3C5D">
        <w:rPr>
          <w:rFonts w:asciiTheme="majorHAnsi" w:hAnsiTheme="majorHAnsi" w:cstheme="majorHAnsi"/>
          <w:noProof/>
        </w:rPr>
        <mc:AlternateContent>
          <mc:Choice Requires="wpg">
            <w:drawing>
              <wp:anchor distT="0" distB="0" distL="0" distR="0" simplePos="0" relativeHeight="251659264" behindDoc="0" locked="0" layoutInCell="0" allowOverlap="1" wp14:anchorId="0AF76D6E" wp14:editId="1492E2B5">
                <wp:simplePos x="0" y="0"/>
                <wp:positionH relativeFrom="page">
                  <wp:posOffset>723900</wp:posOffset>
                </wp:positionH>
                <wp:positionV relativeFrom="paragraph">
                  <wp:posOffset>158115</wp:posOffset>
                </wp:positionV>
                <wp:extent cx="6210300" cy="1626870"/>
                <wp:effectExtent l="0" t="0" r="0" b="0"/>
                <wp:wrapTopAndBottom/>
                <wp:docPr id="4" name="Agrupar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0" cy="1626870"/>
                          <a:chOff x="791" y="349"/>
                          <a:chExt cx="10372" cy="5151"/>
                        </a:xfrm>
                      </wpg:grpSpPr>
                      <wps:wsp>
                        <wps:cNvPr id="5" name="Freeform 6"/>
                        <wps:cNvSpPr>
                          <a:spLocks/>
                        </wps:cNvSpPr>
                        <wps:spPr bwMode="auto">
                          <a:xfrm>
                            <a:off x="791" y="349"/>
                            <a:ext cx="10371" cy="5151"/>
                          </a:xfrm>
                          <a:custGeom>
                            <a:avLst/>
                            <a:gdLst>
                              <a:gd name="T0" fmla="*/ 671 w 10371"/>
                              <a:gd name="T1" fmla="*/ 0 h 5151"/>
                              <a:gd name="T2" fmla="*/ 527 w 10371"/>
                              <a:gd name="T3" fmla="*/ 15 h 5151"/>
                              <a:gd name="T4" fmla="*/ 394 w 10371"/>
                              <a:gd name="T5" fmla="*/ 59 h 5151"/>
                              <a:gd name="T6" fmla="*/ 274 w 10371"/>
                              <a:gd name="T7" fmla="*/ 129 h 5151"/>
                              <a:gd name="T8" fmla="*/ 172 w 10371"/>
                              <a:gd name="T9" fmla="*/ 221 h 5151"/>
                              <a:gd name="T10" fmla="*/ 91 w 10371"/>
                              <a:gd name="T11" fmla="*/ 332 h 5151"/>
                              <a:gd name="T12" fmla="*/ 34 w 10371"/>
                              <a:gd name="T13" fmla="*/ 459 h 5151"/>
                              <a:gd name="T14" fmla="*/ 3 w 10371"/>
                              <a:gd name="T15" fmla="*/ 598 h 5151"/>
                              <a:gd name="T16" fmla="*/ 0 w 10371"/>
                              <a:gd name="T17" fmla="*/ 4479 h 5151"/>
                              <a:gd name="T18" fmla="*/ 15 w 10371"/>
                              <a:gd name="T19" fmla="*/ 4623 h 5151"/>
                              <a:gd name="T20" fmla="*/ 59 w 10371"/>
                              <a:gd name="T21" fmla="*/ 4756 h 5151"/>
                              <a:gd name="T22" fmla="*/ 129 w 10371"/>
                              <a:gd name="T23" fmla="*/ 4876 h 5151"/>
                              <a:gd name="T24" fmla="*/ 221 w 10371"/>
                              <a:gd name="T25" fmla="*/ 4977 h 5151"/>
                              <a:gd name="T26" fmla="*/ 332 w 10371"/>
                              <a:gd name="T27" fmla="*/ 5059 h 5151"/>
                              <a:gd name="T28" fmla="*/ 459 w 10371"/>
                              <a:gd name="T29" fmla="*/ 5116 h 5151"/>
                              <a:gd name="T30" fmla="*/ 598 w 10371"/>
                              <a:gd name="T31" fmla="*/ 5146 h 5151"/>
                              <a:gd name="T32" fmla="*/ 9699 w 10371"/>
                              <a:gd name="T33" fmla="*/ 5150 h 5151"/>
                              <a:gd name="T34" fmla="*/ 9843 w 10371"/>
                              <a:gd name="T35" fmla="*/ 5135 h 5151"/>
                              <a:gd name="T36" fmla="*/ 9976 w 10371"/>
                              <a:gd name="T37" fmla="*/ 5091 h 5151"/>
                              <a:gd name="T38" fmla="*/ 10096 w 10371"/>
                              <a:gd name="T39" fmla="*/ 5021 h 5151"/>
                              <a:gd name="T40" fmla="*/ 10198 w 10371"/>
                              <a:gd name="T41" fmla="*/ 4929 h 5151"/>
                              <a:gd name="T42" fmla="*/ 10279 w 10371"/>
                              <a:gd name="T43" fmla="*/ 4818 h 5151"/>
                              <a:gd name="T44" fmla="*/ 10336 w 10371"/>
                              <a:gd name="T45" fmla="*/ 4691 h 5151"/>
                              <a:gd name="T46" fmla="*/ 10367 w 10371"/>
                              <a:gd name="T47" fmla="*/ 4552 h 5151"/>
                              <a:gd name="T48" fmla="*/ 10371 w 10371"/>
                              <a:gd name="T49" fmla="*/ 671 h 5151"/>
                              <a:gd name="T50" fmla="*/ 10355 w 10371"/>
                              <a:gd name="T51" fmla="*/ 527 h 5151"/>
                              <a:gd name="T52" fmla="*/ 10311 w 10371"/>
                              <a:gd name="T53" fmla="*/ 394 h 5151"/>
                              <a:gd name="T54" fmla="*/ 10241 w 10371"/>
                              <a:gd name="T55" fmla="*/ 274 h 5151"/>
                              <a:gd name="T56" fmla="*/ 10149 w 10371"/>
                              <a:gd name="T57" fmla="*/ 172 h 5151"/>
                              <a:gd name="T58" fmla="*/ 10038 w 10371"/>
                              <a:gd name="T59" fmla="*/ 91 h 5151"/>
                              <a:gd name="T60" fmla="*/ 9911 w 10371"/>
                              <a:gd name="T61" fmla="*/ 34 h 5151"/>
                              <a:gd name="T62" fmla="*/ 9772 w 10371"/>
                              <a:gd name="T63" fmla="*/ 3 h 5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371" h="5151">
                                <a:moveTo>
                                  <a:pt x="9699" y="0"/>
                                </a:moveTo>
                                <a:lnTo>
                                  <a:pt x="671" y="0"/>
                                </a:lnTo>
                                <a:lnTo>
                                  <a:pt x="598" y="3"/>
                                </a:lnTo>
                                <a:lnTo>
                                  <a:pt x="527" y="15"/>
                                </a:lnTo>
                                <a:lnTo>
                                  <a:pt x="459" y="34"/>
                                </a:lnTo>
                                <a:lnTo>
                                  <a:pt x="394" y="59"/>
                                </a:lnTo>
                                <a:lnTo>
                                  <a:pt x="332" y="91"/>
                                </a:lnTo>
                                <a:lnTo>
                                  <a:pt x="274" y="129"/>
                                </a:lnTo>
                                <a:lnTo>
                                  <a:pt x="221" y="172"/>
                                </a:lnTo>
                                <a:lnTo>
                                  <a:pt x="172" y="221"/>
                                </a:lnTo>
                                <a:lnTo>
                                  <a:pt x="129" y="274"/>
                                </a:lnTo>
                                <a:lnTo>
                                  <a:pt x="91" y="332"/>
                                </a:lnTo>
                                <a:lnTo>
                                  <a:pt x="59" y="394"/>
                                </a:lnTo>
                                <a:lnTo>
                                  <a:pt x="34" y="459"/>
                                </a:lnTo>
                                <a:lnTo>
                                  <a:pt x="15" y="527"/>
                                </a:lnTo>
                                <a:lnTo>
                                  <a:pt x="3" y="598"/>
                                </a:lnTo>
                                <a:lnTo>
                                  <a:pt x="0" y="671"/>
                                </a:lnTo>
                                <a:lnTo>
                                  <a:pt x="0" y="4479"/>
                                </a:lnTo>
                                <a:lnTo>
                                  <a:pt x="3" y="4552"/>
                                </a:lnTo>
                                <a:lnTo>
                                  <a:pt x="15" y="4623"/>
                                </a:lnTo>
                                <a:lnTo>
                                  <a:pt x="34" y="4691"/>
                                </a:lnTo>
                                <a:lnTo>
                                  <a:pt x="59" y="4756"/>
                                </a:lnTo>
                                <a:lnTo>
                                  <a:pt x="91" y="4818"/>
                                </a:lnTo>
                                <a:lnTo>
                                  <a:pt x="129" y="4876"/>
                                </a:lnTo>
                                <a:lnTo>
                                  <a:pt x="172" y="4929"/>
                                </a:lnTo>
                                <a:lnTo>
                                  <a:pt x="221" y="4977"/>
                                </a:lnTo>
                                <a:lnTo>
                                  <a:pt x="274" y="5021"/>
                                </a:lnTo>
                                <a:lnTo>
                                  <a:pt x="332" y="5059"/>
                                </a:lnTo>
                                <a:lnTo>
                                  <a:pt x="394" y="5091"/>
                                </a:lnTo>
                                <a:lnTo>
                                  <a:pt x="459" y="5116"/>
                                </a:lnTo>
                                <a:lnTo>
                                  <a:pt x="527" y="5135"/>
                                </a:lnTo>
                                <a:lnTo>
                                  <a:pt x="598" y="5146"/>
                                </a:lnTo>
                                <a:lnTo>
                                  <a:pt x="671" y="5150"/>
                                </a:lnTo>
                                <a:lnTo>
                                  <a:pt x="9699" y="5150"/>
                                </a:lnTo>
                                <a:lnTo>
                                  <a:pt x="9772" y="5146"/>
                                </a:lnTo>
                                <a:lnTo>
                                  <a:pt x="9843" y="5135"/>
                                </a:lnTo>
                                <a:lnTo>
                                  <a:pt x="9911" y="5116"/>
                                </a:lnTo>
                                <a:lnTo>
                                  <a:pt x="9976" y="5091"/>
                                </a:lnTo>
                                <a:lnTo>
                                  <a:pt x="10038" y="5059"/>
                                </a:lnTo>
                                <a:lnTo>
                                  <a:pt x="10096" y="5021"/>
                                </a:lnTo>
                                <a:lnTo>
                                  <a:pt x="10149" y="4977"/>
                                </a:lnTo>
                                <a:lnTo>
                                  <a:pt x="10198" y="4929"/>
                                </a:lnTo>
                                <a:lnTo>
                                  <a:pt x="10241" y="4876"/>
                                </a:lnTo>
                                <a:lnTo>
                                  <a:pt x="10279" y="4818"/>
                                </a:lnTo>
                                <a:lnTo>
                                  <a:pt x="10311" y="4756"/>
                                </a:lnTo>
                                <a:lnTo>
                                  <a:pt x="10336" y="4691"/>
                                </a:lnTo>
                                <a:lnTo>
                                  <a:pt x="10355" y="4623"/>
                                </a:lnTo>
                                <a:lnTo>
                                  <a:pt x="10367" y="4552"/>
                                </a:lnTo>
                                <a:lnTo>
                                  <a:pt x="10371" y="4479"/>
                                </a:lnTo>
                                <a:lnTo>
                                  <a:pt x="10371" y="671"/>
                                </a:lnTo>
                                <a:lnTo>
                                  <a:pt x="10367" y="598"/>
                                </a:lnTo>
                                <a:lnTo>
                                  <a:pt x="10355" y="527"/>
                                </a:lnTo>
                                <a:lnTo>
                                  <a:pt x="10336" y="459"/>
                                </a:lnTo>
                                <a:lnTo>
                                  <a:pt x="10311" y="394"/>
                                </a:lnTo>
                                <a:lnTo>
                                  <a:pt x="10279" y="332"/>
                                </a:lnTo>
                                <a:lnTo>
                                  <a:pt x="10241" y="274"/>
                                </a:lnTo>
                                <a:lnTo>
                                  <a:pt x="10198" y="221"/>
                                </a:lnTo>
                                <a:lnTo>
                                  <a:pt x="10149" y="172"/>
                                </a:lnTo>
                                <a:lnTo>
                                  <a:pt x="10096" y="129"/>
                                </a:lnTo>
                                <a:lnTo>
                                  <a:pt x="10038" y="91"/>
                                </a:lnTo>
                                <a:lnTo>
                                  <a:pt x="9976" y="59"/>
                                </a:lnTo>
                                <a:lnTo>
                                  <a:pt x="9911" y="34"/>
                                </a:lnTo>
                                <a:lnTo>
                                  <a:pt x="9843" y="15"/>
                                </a:lnTo>
                                <a:lnTo>
                                  <a:pt x="9772" y="3"/>
                                </a:lnTo>
                                <a:lnTo>
                                  <a:pt x="9699"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7"/>
                        <wps:cNvSpPr txBox="1">
                          <a:spLocks noChangeArrowheads="1"/>
                        </wps:cNvSpPr>
                        <wps:spPr bwMode="auto">
                          <a:xfrm>
                            <a:off x="792" y="350"/>
                            <a:ext cx="10371" cy="4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47A7A" w14:textId="77777777" w:rsidR="00812FD3" w:rsidRDefault="00812FD3" w:rsidP="00812FD3">
                              <w:pPr>
                                <w:pStyle w:val="Corpodetexto"/>
                                <w:kinsoku w:val="0"/>
                                <w:overflowPunct w:val="0"/>
                                <w:spacing w:before="5"/>
                                <w:rPr>
                                  <w:b/>
                                  <w:bCs/>
                                  <w:i w:val="0"/>
                                  <w:iCs w:val="0"/>
                                  <w:sz w:val="29"/>
                                  <w:szCs w:val="29"/>
                                </w:rPr>
                              </w:pPr>
                            </w:p>
                            <w:p w14:paraId="30DB9E58" w14:textId="7BF97B56" w:rsidR="00812FD3" w:rsidRDefault="00812FD3" w:rsidP="00812FD3">
                              <w:pPr>
                                <w:pStyle w:val="Corpodetexto"/>
                                <w:kinsoku w:val="0"/>
                                <w:overflowPunct w:val="0"/>
                                <w:ind w:left="268" w:right="267"/>
                                <w:jc w:val="both"/>
                                <w:rPr>
                                  <w:b/>
                                  <w:bCs/>
                                  <w:i w:val="0"/>
                                  <w:iCs w:val="0"/>
                                  <w:color w:val="FFFFFF"/>
                                  <w:sz w:val="22"/>
                                  <w:szCs w:val="22"/>
                                </w:rPr>
                              </w:pPr>
                              <w:r>
                                <w:rPr>
                                  <w:b/>
                                  <w:bCs/>
                                  <w:i w:val="0"/>
                                  <w:iCs w:val="0"/>
                                  <w:color w:val="FFFFFF"/>
                                  <w:sz w:val="22"/>
                                  <w:szCs w:val="22"/>
                                </w:rPr>
                                <w:t xml:space="preserve">A </w:t>
                              </w:r>
                              <w:r w:rsidRPr="00812FD3">
                                <w:rPr>
                                  <w:b/>
                                  <w:bCs/>
                                  <w:i w:val="0"/>
                                  <w:iCs w:val="0"/>
                                  <w:color w:val="FFFFFF"/>
                                  <w:sz w:val="22"/>
                                  <w:szCs w:val="22"/>
                                </w:rPr>
                                <w:t>repactuação</w:t>
                              </w:r>
                              <w:r>
                                <w:rPr>
                                  <w:b/>
                                  <w:bCs/>
                                  <w:i w:val="0"/>
                                  <w:iCs w:val="0"/>
                                  <w:color w:val="FFFFFF"/>
                                  <w:sz w:val="22"/>
                                  <w:szCs w:val="22"/>
                                </w:rPr>
                                <w:t xml:space="preserve"> constitui</w:t>
                              </w:r>
                              <w:r w:rsidRPr="00812FD3">
                                <w:rPr>
                                  <w:b/>
                                  <w:bCs/>
                                  <w:i w:val="0"/>
                                  <w:iCs w:val="0"/>
                                  <w:color w:val="FFFFFF"/>
                                  <w:sz w:val="22"/>
                                  <w:szCs w:val="22"/>
                                </w:rPr>
                                <w:t xml:space="preserve"> forma de manutenção do equilíbrio econômico-financeiro de contrato utilizada para serviços contínuos com regime de dedicação exclusiva de mão de obra ou predominância de mão de obra, por meio da análise da variação dos custos contratuais, devendo estar prevista no edital com data vinculada à apresentação das propostas, para os custos decorrentes do mercado, e com data vinculada ao acordo, à convenção coletiva ou ao dissídio coletivo ao qual o orçamento esteja vinculado, para os custos decorrentes da mão de obra</w:t>
                              </w:r>
                              <w:r>
                                <w:rPr>
                                  <w:b/>
                                  <w:bCs/>
                                  <w:i w:val="0"/>
                                  <w:iCs w:val="0"/>
                                  <w:color w:val="FFFFFF"/>
                                  <w:sz w:val="22"/>
                                  <w:szCs w:val="22"/>
                                </w:rPr>
                                <w:t xml:space="preserve"> (art. 6º, </w:t>
                              </w:r>
                              <w:r w:rsidRPr="009150EC">
                                <w:rPr>
                                  <w:b/>
                                  <w:bCs/>
                                  <w:i w:val="0"/>
                                  <w:iCs w:val="0"/>
                                  <w:color w:val="FFFFFF"/>
                                  <w:sz w:val="22"/>
                                  <w:szCs w:val="22"/>
                                </w:rPr>
                                <w:t>LI</w:t>
                              </w:r>
                              <w:r>
                                <w:rPr>
                                  <w:b/>
                                  <w:bCs/>
                                  <w:i w:val="0"/>
                                  <w:iCs w:val="0"/>
                                  <w:color w:val="FFFFFF"/>
                                  <w:sz w:val="22"/>
                                  <w:szCs w:val="22"/>
                                </w:rPr>
                                <w:t>X, da Lei nº 14.133/21).</w:t>
                              </w:r>
                            </w:p>
                            <w:p w14:paraId="745671E7" w14:textId="77777777" w:rsidR="00812FD3" w:rsidRDefault="00812FD3" w:rsidP="00812FD3">
                              <w:pPr>
                                <w:pStyle w:val="Corpodetexto"/>
                                <w:kinsoku w:val="0"/>
                                <w:overflowPunct w:val="0"/>
                                <w:rPr>
                                  <w:b/>
                                  <w:bCs/>
                                  <w:i w:val="0"/>
                                  <w:iCs w:val="0"/>
                                  <w:sz w:val="22"/>
                                  <w:szCs w:val="22"/>
                                </w:rPr>
                              </w:pPr>
                            </w:p>
                            <w:p w14:paraId="335CA640" w14:textId="77777777" w:rsidR="00812FD3" w:rsidRDefault="00812FD3" w:rsidP="00812FD3">
                              <w:pPr>
                                <w:pStyle w:val="Corpodetexto"/>
                                <w:kinsoku w:val="0"/>
                                <w:overflowPunct w:val="0"/>
                                <w:ind w:left="268"/>
                                <w:jc w:val="both"/>
                                <w:rPr>
                                  <w:b/>
                                  <w:bCs/>
                                  <w:i w:val="0"/>
                                  <w:iCs w:val="0"/>
                                  <w:color w:val="FFFFFF"/>
                                  <w:spacing w:val="-2"/>
                                  <w:sz w:val="22"/>
                                  <w:szCs w:val="2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F76D6E" id="Agrupar 4" o:spid="_x0000_s1026" style="position:absolute;margin-left:57pt;margin-top:12.45pt;width:489pt;height:128.1pt;z-index:251659264;mso-wrap-distance-left:0;mso-wrap-distance-right:0;mso-position-horizontal-relative:page" coordorigin="791,349" coordsize="10372,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" o:allowincell="f">
                <v:shape id="Freeform 6" o:spid="_x0000_s1027" style="position:absolute;left:791;top:349;width:10371;height:5151;visibility:visible;mso-wrap-style:square;v-text-anchor:top" coordsize="10371,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" path="m9699,l671,,598,3,527,15,459,34,394,59,332,91r-58,38l221,172r-49,49l129,274,91,332,59,394,34,459,15,527,3,598,,671,,4479r3,73l15,4623r19,68l59,4756r32,62l129,4876r43,53l221,4977r53,44l332,5059r62,32l459,5116r68,19l598,5146r73,4l9699,5150r73,-4l9843,5135r68,-19l9976,5091r62,-32l10096,5021r53,-44l10198,4929r43,-53l10279,4818r32,-62l10336,4691r19,-68l10367,4552r4,-73l10371,671r-4,-73l10355,527r-19,-68l10311,394r-32,-62l10241,274r-43,-53l10149,172r-53,-43l10038,91,9976,59,9911,34,9843,15,9772,3,9699,xe" fillcolor="#4471c4" stroked="f">
                  <v:path arrowok="t" o:connecttype="custom" o:connectlocs="671,0;527,15;394,59;274,129;172,221;91,332;34,459;3,598;0,4479;15,4623;59,4756;129,4876;221,4977;332,5059;459,5116;598,5146;9699,5150;9843,5135;9976,5091;10096,5021;10198,4929;10279,4818;10336,4691;10367,4552;10371,671;10355,527;10311,394;10241,274;10149,172;10038,91;9911,34;9772,3" o:connectangles="0,0,0,0,0,0,0,0,0,0,0,0,0,0,0,0,0,0,0,0,0,0,0,0,0,0,0,0,0,0,0,0"/>
                </v:shape>
                <v:shapetype id="_x0000_t202" coordsize="21600,21600" o:spt="202" path="m,l,21600r21600,l21600,xe">
                  <v:stroke joinstyle="miter"/>
                  <v:path gradientshapeok="t" o:connecttype="rect"/>
                </v:shapetype>
                <v:shape id="Text Box 7" o:spid="_x0000_s1028" type="#_x0000_t202" style="position:absolute;left:792;top:350;width:10371;height:4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2047A7A" w14:textId="77777777" w:rsidR="00812FD3" w:rsidRDefault="00812FD3" w:rsidP="00812FD3">
                        <w:pPr>
                          <w:pStyle w:val="Corpodetexto"/>
                          <w:kinsoku w:val="0"/>
                          <w:overflowPunct w:val="0"/>
                          <w:spacing w:before="5"/>
                          <w:rPr>
                            <w:b/>
                            <w:bCs/>
                            <w:i w:val="0"/>
                            <w:iCs w:val="0"/>
                            <w:sz w:val="29"/>
                            <w:szCs w:val="29"/>
                          </w:rPr>
                        </w:pPr>
                      </w:p>
                      <w:p w14:paraId="30DB9E58" w14:textId="7BF97B56" w:rsidR="00812FD3" w:rsidRDefault="00812FD3" w:rsidP="00812FD3">
                        <w:pPr>
                          <w:pStyle w:val="Corpodetexto"/>
                          <w:kinsoku w:val="0"/>
                          <w:overflowPunct w:val="0"/>
                          <w:ind w:left="268" w:right="267"/>
                          <w:jc w:val="both"/>
                          <w:rPr>
                            <w:b/>
                            <w:bCs/>
                            <w:i w:val="0"/>
                            <w:iCs w:val="0"/>
                            <w:color w:val="FFFFFF"/>
                            <w:sz w:val="22"/>
                            <w:szCs w:val="22"/>
                          </w:rPr>
                        </w:pPr>
                        <w:r>
                          <w:rPr>
                            <w:b/>
                            <w:bCs/>
                            <w:i w:val="0"/>
                            <w:iCs w:val="0"/>
                            <w:color w:val="FFFFFF"/>
                            <w:sz w:val="22"/>
                            <w:szCs w:val="22"/>
                          </w:rPr>
                          <w:t xml:space="preserve">A </w:t>
                        </w:r>
                        <w:r w:rsidRPr="00812FD3">
                          <w:rPr>
                            <w:b/>
                            <w:bCs/>
                            <w:i w:val="0"/>
                            <w:iCs w:val="0"/>
                            <w:color w:val="FFFFFF"/>
                            <w:sz w:val="22"/>
                            <w:szCs w:val="22"/>
                          </w:rPr>
                          <w:t>repactuação</w:t>
                        </w:r>
                        <w:r>
                          <w:rPr>
                            <w:b/>
                            <w:bCs/>
                            <w:i w:val="0"/>
                            <w:iCs w:val="0"/>
                            <w:color w:val="FFFFFF"/>
                            <w:sz w:val="22"/>
                            <w:szCs w:val="22"/>
                          </w:rPr>
                          <w:t xml:space="preserve"> constitui</w:t>
                        </w:r>
                        <w:r w:rsidRPr="00812FD3">
                          <w:rPr>
                            <w:b/>
                            <w:bCs/>
                            <w:i w:val="0"/>
                            <w:iCs w:val="0"/>
                            <w:color w:val="FFFFFF"/>
                            <w:sz w:val="22"/>
                            <w:szCs w:val="22"/>
                          </w:rPr>
                          <w:t xml:space="preserve"> forma de manutenção do equilíbrio econômico-financeiro de contrato utilizada para serviços contínuos com regime de dedicação exclusiva de mão de obra ou predominância de mão de obra, por meio da análise da variação dos custos contratuais, devendo estar prevista no edital com data vinculada à apresentação das propostas, para os custos decorrentes do mercado, e com data vinculada ao acordo, à convenção coletiva ou ao dissídio coletivo ao qual o orçamento esteja vinculado, para os custos decorrentes da mão de obra</w:t>
                        </w:r>
                        <w:r>
                          <w:rPr>
                            <w:b/>
                            <w:bCs/>
                            <w:i w:val="0"/>
                            <w:iCs w:val="0"/>
                            <w:color w:val="FFFFFF"/>
                            <w:sz w:val="22"/>
                            <w:szCs w:val="22"/>
                          </w:rPr>
                          <w:t xml:space="preserve"> (art. 6º, </w:t>
                        </w:r>
                        <w:r w:rsidRPr="009150EC">
                          <w:rPr>
                            <w:b/>
                            <w:bCs/>
                            <w:i w:val="0"/>
                            <w:iCs w:val="0"/>
                            <w:color w:val="FFFFFF"/>
                            <w:sz w:val="22"/>
                            <w:szCs w:val="22"/>
                          </w:rPr>
                          <w:t>LI</w:t>
                        </w:r>
                        <w:r>
                          <w:rPr>
                            <w:b/>
                            <w:bCs/>
                            <w:i w:val="0"/>
                            <w:iCs w:val="0"/>
                            <w:color w:val="FFFFFF"/>
                            <w:sz w:val="22"/>
                            <w:szCs w:val="22"/>
                          </w:rPr>
                          <w:t>X, da Lei nº 14.133/21).</w:t>
                        </w:r>
                      </w:p>
                      <w:p w14:paraId="745671E7" w14:textId="77777777" w:rsidR="00812FD3" w:rsidRDefault="00812FD3" w:rsidP="00812FD3">
                        <w:pPr>
                          <w:pStyle w:val="Corpodetexto"/>
                          <w:kinsoku w:val="0"/>
                          <w:overflowPunct w:val="0"/>
                          <w:rPr>
                            <w:b/>
                            <w:bCs/>
                            <w:i w:val="0"/>
                            <w:iCs w:val="0"/>
                            <w:sz w:val="22"/>
                            <w:szCs w:val="22"/>
                          </w:rPr>
                        </w:pPr>
                      </w:p>
                      <w:p w14:paraId="335CA640" w14:textId="77777777" w:rsidR="00812FD3" w:rsidRDefault="00812FD3" w:rsidP="00812FD3">
                        <w:pPr>
                          <w:pStyle w:val="Corpodetexto"/>
                          <w:kinsoku w:val="0"/>
                          <w:overflowPunct w:val="0"/>
                          <w:ind w:left="268"/>
                          <w:jc w:val="both"/>
                          <w:rPr>
                            <w:b/>
                            <w:bCs/>
                            <w:i w:val="0"/>
                            <w:iCs w:val="0"/>
                            <w:color w:val="FFFFFF"/>
                            <w:spacing w:val="-2"/>
                            <w:sz w:val="22"/>
                            <w:szCs w:val="22"/>
                          </w:rPr>
                        </w:pPr>
                      </w:p>
                    </w:txbxContent>
                  </v:textbox>
                </v:shape>
                <w10:wrap type="topAndBottom" anchorx="page"/>
              </v:group>
            </w:pict>
          </mc:Fallback>
        </mc:AlternateContent>
      </w:r>
    </w:p>
    <w:p w14:paraId="4390BC72" w14:textId="229A43B9" w:rsidR="00812FD3" w:rsidRDefault="00812FD3" w:rsidP="00812FD3"/>
    <w:p w14:paraId="1324CFAD" w14:textId="063FCD8F" w:rsidR="00812FD3" w:rsidRDefault="00812FD3" w:rsidP="00812FD3"/>
    <w:p w14:paraId="58BD92C8" w14:textId="77777777" w:rsidR="00812FD3" w:rsidRDefault="00812FD3" w:rsidP="00812FD3"/>
    <w:p w14:paraId="774152AA" w14:textId="77777777" w:rsidR="00FA22FB" w:rsidRDefault="00FA22FB" w:rsidP="00FA22FB">
      <w:pPr>
        <w:pStyle w:val="Ttulo1"/>
        <w:spacing w:before="160"/>
        <w:ind w:left="-709"/>
        <w:jc w:val="both"/>
        <w:rPr>
          <w:sz w:val="22"/>
          <w:szCs w:val="22"/>
          <w:lang w:val="pt-BR"/>
        </w:rPr>
      </w:pPr>
    </w:p>
    <w:p w14:paraId="200D3CC5" w14:textId="77777777" w:rsidR="00FA22FB" w:rsidRPr="008630EC" w:rsidRDefault="00FA22FB" w:rsidP="00FA22FB">
      <w:pPr>
        <w:pBdr>
          <w:top w:val="nil"/>
          <w:left w:val="nil"/>
          <w:bottom w:val="nil"/>
          <w:right w:val="nil"/>
          <w:between w:val="nil"/>
        </w:pBdr>
        <w:spacing w:before="59" w:line="360" w:lineRule="auto"/>
        <w:ind w:left="-426" w:right="-12"/>
        <w:jc w:val="both"/>
        <w:rPr>
          <w:b/>
          <w:color w:val="000000"/>
        </w:rPr>
      </w:pPr>
      <w:r w:rsidRPr="008630EC">
        <w:rPr>
          <w:b/>
          <w:color w:val="000000"/>
        </w:rPr>
        <w:t>Processo nº:</w:t>
      </w:r>
    </w:p>
    <w:p w14:paraId="405044F6" w14:textId="77777777" w:rsidR="00812FD3" w:rsidRPr="00812FD3" w:rsidRDefault="00812FD3" w:rsidP="00812FD3"/>
    <w:tbl>
      <w:tblPr>
        <w:tblStyle w:val="a"/>
        <w:tblW w:w="10348" w:type="dxa"/>
        <w:tblInd w:w="-572" w:type="dxa"/>
        <w:tblLayout w:type="fixed"/>
        <w:tblLook w:val="0000" w:firstRow="0" w:lastRow="0" w:firstColumn="0" w:lastColumn="0" w:noHBand="0" w:noVBand="0"/>
      </w:tblPr>
      <w:tblGrid>
        <w:gridCol w:w="7797"/>
        <w:gridCol w:w="1275"/>
        <w:gridCol w:w="1276"/>
      </w:tblGrid>
      <w:tr w:rsidR="00FC59B3" w14:paraId="2B5C797E" w14:textId="77777777" w:rsidTr="004B2594">
        <w:trPr>
          <w:trHeight w:val="1040"/>
        </w:trPr>
        <w:tc>
          <w:tcPr>
            <w:tcW w:w="779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18CA0A0" w14:textId="5745F933" w:rsidR="00FC59B3" w:rsidRDefault="00812FD3">
            <w:pPr>
              <w:pBdr>
                <w:top w:val="nil"/>
                <w:left w:val="nil"/>
                <w:bottom w:val="nil"/>
                <w:right w:val="nil"/>
                <w:between w:val="nil"/>
              </w:pBdr>
              <w:ind w:left="320" w:right="393"/>
              <w:jc w:val="center"/>
              <w:rPr>
                <w:b/>
                <w:color w:val="000000"/>
                <w:sz w:val="20"/>
                <w:szCs w:val="20"/>
              </w:rPr>
            </w:pPr>
            <w:r w:rsidRPr="00BA3C5D">
              <w:rPr>
                <w:rFonts w:asciiTheme="majorHAnsi" w:hAnsiTheme="majorHAnsi" w:cstheme="majorHAnsi"/>
                <w:b/>
                <w:color w:val="000000"/>
              </w:rPr>
              <w:t>CONDIÇÕES A SEREM VERIFICADAS</w:t>
            </w:r>
          </w:p>
        </w:tc>
        <w:tc>
          <w:tcPr>
            <w:tcW w:w="12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AFAEB46" w14:textId="356150E2" w:rsidR="00FC59B3" w:rsidRDefault="00812FD3">
            <w:pPr>
              <w:pBdr>
                <w:top w:val="nil"/>
                <w:left w:val="nil"/>
                <w:bottom w:val="nil"/>
                <w:right w:val="nil"/>
                <w:between w:val="nil"/>
              </w:pBdr>
              <w:spacing w:before="140"/>
              <w:jc w:val="center"/>
              <w:rPr>
                <w:b/>
                <w:color w:val="000000"/>
                <w:sz w:val="20"/>
                <w:szCs w:val="20"/>
              </w:rPr>
            </w:pPr>
            <w:r w:rsidRPr="0071132A">
              <w:rPr>
                <w:rFonts w:asciiTheme="majorHAnsi" w:hAnsiTheme="majorHAnsi" w:cstheme="majorHAnsi"/>
                <w:b/>
                <w:color w:val="000000"/>
              </w:rPr>
              <w:t>S / N / NA</w:t>
            </w:r>
            <w:r w:rsidRPr="0071132A">
              <w:rPr>
                <w:rStyle w:val="Refdenotaderodap"/>
                <w:rFonts w:asciiTheme="majorHAnsi" w:eastAsiaTheme="minorEastAsia" w:hAnsiTheme="majorHAnsi" w:cstheme="majorHAnsi"/>
                <w:b/>
                <w:color w:val="000000"/>
              </w:rPr>
              <w:footnoteReference w:id="1"/>
            </w:r>
          </w:p>
        </w:tc>
        <w:tc>
          <w:tcPr>
            <w:tcW w:w="127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720AB68" w14:textId="3CF3A00E" w:rsidR="00FC59B3" w:rsidRDefault="00812FD3" w:rsidP="004B2594">
            <w:pPr>
              <w:spacing w:before="140"/>
              <w:ind w:left="27"/>
              <w:jc w:val="center"/>
              <w:rPr>
                <w:b/>
                <w:sz w:val="20"/>
                <w:szCs w:val="20"/>
              </w:rPr>
            </w:pPr>
            <w:r w:rsidRPr="0071132A">
              <w:rPr>
                <w:b/>
              </w:rPr>
              <w:t>Despacho</w:t>
            </w:r>
          </w:p>
        </w:tc>
      </w:tr>
      <w:tr w:rsidR="00FC59B3" w14:paraId="02797974" w14:textId="77777777" w:rsidTr="004B2594">
        <w:trPr>
          <w:trHeight w:val="475"/>
        </w:trPr>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16ED4F0A" w14:textId="77777777" w:rsidR="00FC59B3" w:rsidRDefault="00AC42BB" w:rsidP="00A479F8">
            <w:pPr>
              <w:pBdr>
                <w:top w:val="nil"/>
                <w:left w:val="nil"/>
                <w:bottom w:val="nil"/>
                <w:right w:val="nil"/>
                <w:between w:val="nil"/>
              </w:pBdr>
              <w:spacing w:before="5"/>
              <w:ind w:left="16" w:right="136"/>
              <w:jc w:val="both"/>
              <w:rPr>
                <w:color w:val="000000"/>
                <w:lang w:val="pt-BR"/>
              </w:rPr>
            </w:pPr>
            <w:r>
              <w:rPr>
                <w:b/>
                <w:color w:val="000000"/>
              </w:rPr>
              <w:t xml:space="preserve">1. </w:t>
            </w:r>
            <w:r w:rsidR="00A479F8" w:rsidRPr="000D4260">
              <w:rPr>
                <w:color w:val="000000"/>
                <w:lang w:val="pt-BR"/>
              </w:rPr>
              <w:t xml:space="preserve">Consta nos autos do processo </w:t>
            </w:r>
            <w:r w:rsidR="00A479F8" w:rsidRPr="000D4260">
              <w:rPr>
                <w:b/>
                <w:color w:val="000000"/>
                <w:lang w:val="pt-BR"/>
              </w:rPr>
              <w:t xml:space="preserve">extrato da publicação </w:t>
            </w:r>
            <w:r w:rsidR="00A479F8" w:rsidRPr="000D4260">
              <w:rPr>
                <w:color w:val="000000"/>
                <w:lang w:val="pt-BR"/>
              </w:rPr>
              <w:t xml:space="preserve">na Imprensa oficial e no Portal Nacional de Contratações Públicas (PNCP) do </w:t>
            </w:r>
            <w:r w:rsidR="00A479F8" w:rsidRPr="000D4260">
              <w:rPr>
                <w:b/>
                <w:bCs/>
                <w:color w:val="000000"/>
                <w:lang w:val="pt-BR"/>
              </w:rPr>
              <w:t>contrato</w:t>
            </w:r>
            <w:r w:rsidR="00A479F8" w:rsidRPr="000D4260">
              <w:rPr>
                <w:color w:val="000000"/>
                <w:lang w:val="pt-BR"/>
              </w:rPr>
              <w:t xml:space="preserve"> e de eventuais </w:t>
            </w:r>
            <w:r w:rsidR="00A479F8" w:rsidRPr="000D4260">
              <w:rPr>
                <w:b/>
                <w:bCs/>
                <w:color w:val="000000"/>
                <w:lang w:val="pt-BR"/>
              </w:rPr>
              <w:t>termos aditivos precedentes</w:t>
            </w:r>
            <w:r w:rsidR="00A479F8" w:rsidRPr="000D4260">
              <w:rPr>
                <w:color w:val="000000"/>
                <w:lang w:val="pt-BR"/>
              </w:rPr>
              <w:t xml:space="preserve">, demonstrando </w:t>
            </w:r>
            <w:r w:rsidR="00A479F8" w:rsidRPr="00A479F8">
              <w:rPr>
                <w:color w:val="000000"/>
                <w:lang w:val="pt-BR"/>
              </w:rPr>
              <w:t>que</w:t>
            </w:r>
            <w:r w:rsidR="00A479F8" w:rsidRPr="000D4260">
              <w:rPr>
                <w:color w:val="000000"/>
                <w:lang w:val="pt-BR"/>
              </w:rPr>
              <w:t xml:space="preserve"> o contrato está em vigor? (art. 94 da Lei nº 14.133/21)</w:t>
            </w:r>
          </w:p>
          <w:p w14:paraId="15AD9FE8" w14:textId="620FE5BC" w:rsidR="00FA22FB" w:rsidRDefault="00FA22FB" w:rsidP="00A479F8">
            <w:pPr>
              <w:pBdr>
                <w:top w:val="nil"/>
                <w:left w:val="nil"/>
                <w:bottom w:val="nil"/>
                <w:right w:val="nil"/>
                <w:between w:val="nil"/>
              </w:pBdr>
              <w:spacing w:before="5"/>
              <w:ind w:left="16" w:right="136"/>
              <w:jc w:val="both"/>
              <w:rPr>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0DC458C" w14:textId="77777777" w:rsidR="00FC59B3" w:rsidRDefault="00FC59B3">
            <w:pPr>
              <w:pBdr>
                <w:top w:val="nil"/>
                <w:left w:val="nil"/>
                <w:bottom w:val="nil"/>
                <w:right w:val="nil"/>
                <w:between w:val="nil"/>
              </w:pBdr>
              <w:rPr>
                <w:rFonts w:ascii="Times New Roman" w:eastAsia="Times New Roman" w:hAnsi="Times New Roman" w:cs="Times New Roman"/>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D64E386" w14:textId="77777777" w:rsidR="00FC59B3" w:rsidRDefault="00FC59B3">
            <w:pPr>
              <w:pBdr>
                <w:top w:val="nil"/>
                <w:left w:val="nil"/>
                <w:bottom w:val="nil"/>
                <w:right w:val="nil"/>
                <w:between w:val="nil"/>
              </w:pBdr>
              <w:rPr>
                <w:rFonts w:ascii="Times New Roman" w:eastAsia="Times New Roman" w:hAnsi="Times New Roman" w:cs="Times New Roman"/>
                <w:color w:val="000000"/>
                <w:sz w:val="18"/>
                <w:szCs w:val="18"/>
              </w:rPr>
            </w:pPr>
          </w:p>
        </w:tc>
      </w:tr>
      <w:tr w:rsidR="00FC59B3" w14:paraId="4EFA97B8" w14:textId="77777777" w:rsidTr="004B2594">
        <w:trPr>
          <w:trHeight w:val="759"/>
        </w:trPr>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09350E97" w14:textId="3375529C" w:rsidR="00FC59B3" w:rsidRDefault="00AC42BB" w:rsidP="00A479F8">
            <w:pPr>
              <w:pBdr>
                <w:top w:val="nil"/>
                <w:left w:val="nil"/>
                <w:bottom w:val="nil"/>
                <w:right w:val="nil"/>
                <w:between w:val="nil"/>
              </w:pBdr>
              <w:spacing w:before="5"/>
              <w:ind w:left="16" w:right="136"/>
              <w:jc w:val="both"/>
              <w:rPr>
                <w:color w:val="000000"/>
              </w:rPr>
            </w:pPr>
            <w:r>
              <w:rPr>
                <w:b/>
                <w:color w:val="000000"/>
              </w:rPr>
              <w:t xml:space="preserve">2. </w:t>
            </w:r>
            <w:r w:rsidR="00FA22FB">
              <w:rPr>
                <w:color w:val="000000"/>
              </w:rPr>
              <w:t>Há p</w:t>
            </w:r>
            <w:r>
              <w:rPr>
                <w:color w:val="000000"/>
              </w:rPr>
              <w:t xml:space="preserve">revisão da </w:t>
            </w:r>
            <w:r w:rsidRPr="00713055">
              <w:t xml:space="preserve">repactuação no instrumento convocatório </w:t>
            </w:r>
            <w:r w:rsidR="002D7ECB" w:rsidRPr="00713055">
              <w:t>e</w:t>
            </w:r>
            <w:r w:rsidRPr="00713055">
              <w:t xml:space="preserve"> </w:t>
            </w:r>
            <w:r w:rsidRPr="00713055">
              <w:rPr>
                <w:lang w:val="pt-BR"/>
              </w:rPr>
              <w:t>no</w:t>
            </w:r>
            <w:r w:rsidRPr="00713055">
              <w:t xml:space="preserve"> contrato</w:t>
            </w:r>
            <w:r w:rsidR="00201810">
              <w:t>?</w:t>
            </w:r>
            <w:r w:rsidRPr="00713055">
              <w:t xml:space="preserve"> (art. 6º, LIX e 92, X da Lei 14.133/21)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37D7A38" w14:textId="77777777" w:rsidR="00FC59B3" w:rsidRDefault="00FC59B3">
            <w:pPr>
              <w:pBdr>
                <w:top w:val="nil"/>
                <w:left w:val="nil"/>
                <w:bottom w:val="nil"/>
                <w:right w:val="nil"/>
                <w:between w:val="nil"/>
              </w:pBdr>
              <w:rPr>
                <w:rFonts w:ascii="Times New Roman" w:eastAsia="Times New Roman" w:hAnsi="Times New Roman" w:cs="Times New Roman"/>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C68C21" w14:textId="77777777" w:rsidR="00FC59B3" w:rsidRDefault="00FC59B3">
            <w:pPr>
              <w:pBdr>
                <w:top w:val="nil"/>
                <w:left w:val="nil"/>
                <w:bottom w:val="nil"/>
                <w:right w:val="nil"/>
                <w:between w:val="nil"/>
              </w:pBdr>
              <w:rPr>
                <w:rFonts w:ascii="Times New Roman" w:eastAsia="Times New Roman" w:hAnsi="Times New Roman" w:cs="Times New Roman"/>
                <w:color w:val="000000"/>
                <w:sz w:val="18"/>
                <w:szCs w:val="18"/>
              </w:rPr>
            </w:pPr>
          </w:p>
        </w:tc>
      </w:tr>
      <w:tr w:rsidR="00FC59B3" w14:paraId="27EE7E2F" w14:textId="77777777" w:rsidTr="004B2594">
        <w:trPr>
          <w:trHeight w:val="552"/>
        </w:trPr>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27243850" w14:textId="202C18FB" w:rsidR="00FC59B3" w:rsidRDefault="00AC42BB" w:rsidP="00A479F8">
            <w:pPr>
              <w:pBdr>
                <w:top w:val="nil"/>
                <w:left w:val="nil"/>
                <w:bottom w:val="nil"/>
                <w:right w:val="nil"/>
                <w:between w:val="nil"/>
              </w:pBdr>
              <w:spacing w:before="5"/>
              <w:ind w:left="16" w:right="136"/>
              <w:jc w:val="both"/>
              <w:rPr>
                <w:color w:val="000000"/>
              </w:rPr>
            </w:pPr>
            <w:r>
              <w:rPr>
                <w:b/>
                <w:color w:val="000000"/>
              </w:rPr>
              <w:t>3.</w:t>
            </w:r>
            <w:r>
              <w:rPr>
                <w:color w:val="000000"/>
              </w:rPr>
              <w:t xml:space="preserve"> </w:t>
            </w:r>
            <w:r>
              <w:rPr>
                <w:b/>
                <w:color w:val="000000"/>
              </w:rPr>
              <w:t>Solicitação do contratado</w:t>
            </w:r>
            <w:r>
              <w:rPr>
                <w:color w:val="000000"/>
              </w:rPr>
              <w:t xml:space="preserve"> instruída com demonstração analítica da variação dos custos, por meio de apresentação </w:t>
            </w:r>
            <w:r w:rsidRPr="00A479F8">
              <w:rPr>
                <w:color w:val="000000"/>
                <w:lang w:val="pt-BR"/>
              </w:rPr>
              <w:t>da</w:t>
            </w:r>
            <w:r>
              <w:rPr>
                <w:color w:val="000000"/>
              </w:rPr>
              <w:t xml:space="preserve"> planilha de custos e formação de preços, ou do novo acordo, convenção ou sentença normativa que fundamenta a repactuação</w:t>
            </w:r>
            <w:r w:rsidR="00201810">
              <w:rPr>
                <w:color w:val="000000"/>
              </w:rPr>
              <w:t xml:space="preserve"> </w:t>
            </w:r>
            <w:r w:rsidR="00201810" w:rsidRPr="00713055">
              <w:t xml:space="preserve">(art. </w:t>
            </w:r>
            <w:r w:rsidR="00201810">
              <w:t>135, §6º,</w:t>
            </w:r>
            <w:r w:rsidR="00201810" w:rsidRPr="00713055">
              <w:t xml:space="preserve"> da Lei 14.133/21)</w:t>
            </w:r>
            <w:r w:rsidR="005B5EF8">
              <w:rPr>
                <w:color w:val="000000"/>
              </w:rPr>
              <w:t>.</w:t>
            </w:r>
          </w:p>
          <w:p w14:paraId="611AC41C" w14:textId="77777777" w:rsidR="005B5EF8" w:rsidRDefault="005B5EF8" w:rsidP="00A479F8">
            <w:pPr>
              <w:pBdr>
                <w:top w:val="nil"/>
                <w:left w:val="nil"/>
                <w:bottom w:val="nil"/>
                <w:right w:val="nil"/>
                <w:between w:val="nil"/>
              </w:pBdr>
              <w:spacing w:before="5"/>
              <w:ind w:left="16" w:right="136"/>
              <w:jc w:val="both"/>
              <w:rPr>
                <w:color w:val="000000"/>
              </w:rPr>
            </w:pPr>
          </w:p>
          <w:p w14:paraId="76C7FE70" w14:textId="77777777" w:rsidR="005B5EF8" w:rsidRDefault="005B5EF8" w:rsidP="00A479F8">
            <w:pPr>
              <w:pBdr>
                <w:top w:val="nil"/>
                <w:left w:val="nil"/>
                <w:bottom w:val="nil"/>
                <w:right w:val="nil"/>
                <w:between w:val="nil"/>
              </w:pBdr>
              <w:spacing w:before="5"/>
              <w:ind w:left="16" w:right="136"/>
              <w:jc w:val="both"/>
              <w:rPr>
                <w:i/>
                <w:iCs/>
                <w:color w:val="000000"/>
              </w:rPr>
            </w:pPr>
            <w:r w:rsidRPr="005B5EF8">
              <w:rPr>
                <w:i/>
                <w:iCs/>
                <w:color w:val="000000"/>
              </w:rPr>
              <w:t>Obs.: O contrato será corrigido na exata proporção do desequilíbrio que a parte interessada logra comprovar (TCU. Acórdão nº 1.827/2008, Plenário).</w:t>
            </w:r>
          </w:p>
          <w:p w14:paraId="7E9B3D7D" w14:textId="2903184D" w:rsidR="00E71520" w:rsidRPr="005B5EF8" w:rsidRDefault="00E71520" w:rsidP="00A479F8">
            <w:pPr>
              <w:pBdr>
                <w:top w:val="nil"/>
                <w:left w:val="nil"/>
                <w:bottom w:val="nil"/>
                <w:right w:val="nil"/>
                <w:between w:val="nil"/>
              </w:pBdr>
              <w:spacing w:before="5"/>
              <w:ind w:left="16" w:right="136"/>
              <w:jc w:val="both"/>
              <w:rPr>
                <w:i/>
                <w:iCs/>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492E7D6" w14:textId="77777777" w:rsidR="00FC59B3" w:rsidRDefault="00FC59B3">
            <w:pPr>
              <w:pBdr>
                <w:top w:val="nil"/>
                <w:left w:val="nil"/>
                <w:bottom w:val="nil"/>
                <w:right w:val="nil"/>
                <w:between w:val="nil"/>
              </w:pBdr>
              <w:rPr>
                <w:rFonts w:ascii="Times New Roman" w:eastAsia="Times New Roman" w:hAnsi="Times New Roman" w:cs="Times New Roman"/>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D4C74C" w14:textId="77777777" w:rsidR="00FC59B3" w:rsidRDefault="00FC59B3">
            <w:pPr>
              <w:pBdr>
                <w:top w:val="nil"/>
                <w:left w:val="nil"/>
                <w:bottom w:val="nil"/>
                <w:right w:val="nil"/>
                <w:between w:val="nil"/>
              </w:pBdr>
              <w:rPr>
                <w:rFonts w:ascii="Times New Roman" w:eastAsia="Times New Roman" w:hAnsi="Times New Roman" w:cs="Times New Roman"/>
                <w:color w:val="000000"/>
                <w:sz w:val="18"/>
                <w:szCs w:val="18"/>
              </w:rPr>
            </w:pPr>
          </w:p>
        </w:tc>
      </w:tr>
      <w:tr w:rsidR="002D7ECB" w14:paraId="15CFF9A8" w14:textId="77777777" w:rsidTr="004B2594">
        <w:trPr>
          <w:trHeight w:val="610"/>
        </w:trPr>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12FF62CA" w14:textId="27CE81F4" w:rsidR="002D7ECB" w:rsidRDefault="002D7ECB" w:rsidP="006D6781">
            <w:pPr>
              <w:pBdr>
                <w:top w:val="nil"/>
                <w:left w:val="nil"/>
                <w:bottom w:val="nil"/>
                <w:right w:val="nil"/>
                <w:between w:val="nil"/>
              </w:pBdr>
              <w:spacing w:before="5"/>
              <w:ind w:left="16" w:right="136"/>
              <w:jc w:val="both"/>
              <w:rPr>
                <w:color w:val="000000"/>
              </w:rPr>
            </w:pPr>
            <w:r>
              <w:rPr>
                <w:b/>
                <w:color w:val="000000"/>
              </w:rPr>
              <w:t xml:space="preserve">4. </w:t>
            </w:r>
            <w:r>
              <w:rPr>
                <w:color w:val="000000"/>
              </w:rPr>
              <w:t>Cópia</w:t>
            </w:r>
            <w:r>
              <w:rPr>
                <w:b/>
                <w:color w:val="000000"/>
              </w:rPr>
              <w:t xml:space="preserve"> </w:t>
            </w:r>
            <w:r>
              <w:rPr>
                <w:color w:val="000000"/>
              </w:rPr>
              <w:t xml:space="preserve">do acordo, convenção ou sentença </w:t>
            </w:r>
            <w:r w:rsidRPr="00A479F8">
              <w:rPr>
                <w:color w:val="000000"/>
                <w:lang w:val="pt-BR"/>
              </w:rPr>
              <w:t>normativa</w:t>
            </w:r>
            <w:r w:rsidR="00E71520">
              <w:rPr>
                <w:color w:val="000000"/>
                <w:lang w:val="pt-BR"/>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A7D9015" w14:textId="77777777" w:rsidR="002D7ECB" w:rsidRDefault="002D7ECB" w:rsidP="006D6781">
            <w:pPr>
              <w:pBdr>
                <w:top w:val="nil"/>
                <w:left w:val="nil"/>
                <w:bottom w:val="nil"/>
                <w:right w:val="nil"/>
                <w:between w:val="nil"/>
              </w:pBdr>
              <w:rPr>
                <w:rFonts w:ascii="Times New Roman" w:eastAsia="Times New Roman" w:hAnsi="Times New Roman" w:cs="Times New Roman"/>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0D7860" w14:textId="77777777" w:rsidR="002D7ECB" w:rsidRDefault="002D7ECB" w:rsidP="006D6781">
            <w:pPr>
              <w:pBdr>
                <w:top w:val="nil"/>
                <w:left w:val="nil"/>
                <w:bottom w:val="nil"/>
                <w:right w:val="nil"/>
                <w:between w:val="nil"/>
              </w:pBdr>
              <w:rPr>
                <w:rFonts w:ascii="Times New Roman" w:eastAsia="Times New Roman" w:hAnsi="Times New Roman" w:cs="Times New Roman"/>
                <w:color w:val="000000"/>
                <w:sz w:val="18"/>
                <w:szCs w:val="18"/>
              </w:rPr>
            </w:pPr>
          </w:p>
        </w:tc>
      </w:tr>
    </w:tbl>
    <w:tbl>
      <w:tblPr>
        <w:tblStyle w:val="a0"/>
        <w:tblW w:w="10348" w:type="dxa"/>
        <w:tblInd w:w="-572" w:type="dxa"/>
        <w:tblLayout w:type="fixed"/>
        <w:tblLook w:val="0000" w:firstRow="0" w:lastRow="0" w:firstColumn="0" w:lastColumn="0" w:noHBand="0" w:noVBand="0"/>
      </w:tblPr>
      <w:tblGrid>
        <w:gridCol w:w="8130"/>
        <w:gridCol w:w="868"/>
        <w:gridCol w:w="1350"/>
      </w:tblGrid>
      <w:tr w:rsidR="00292467" w14:paraId="070BB07B" w14:textId="77777777" w:rsidTr="005541D3">
        <w:trPr>
          <w:trHeight w:val="653"/>
        </w:trPr>
        <w:tc>
          <w:tcPr>
            <w:tcW w:w="8130" w:type="dxa"/>
            <w:tcBorders>
              <w:top w:val="single" w:sz="4" w:space="0" w:color="000000"/>
              <w:left w:val="single" w:sz="4" w:space="0" w:color="000000"/>
              <w:bottom w:val="single" w:sz="4" w:space="0" w:color="000000"/>
              <w:right w:val="single" w:sz="4" w:space="0" w:color="000000"/>
            </w:tcBorders>
            <w:shd w:val="clear" w:color="auto" w:fill="auto"/>
          </w:tcPr>
          <w:p w14:paraId="1D6B36FF" w14:textId="77777777" w:rsidR="00292467" w:rsidRDefault="00E71520" w:rsidP="005541D3">
            <w:pPr>
              <w:pBdr>
                <w:top w:val="nil"/>
                <w:left w:val="nil"/>
                <w:bottom w:val="nil"/>
                <w:right w:val="nil"/>
                <w:between w:val="nil"/>
              </w:pBdr>
              <w:spacing w:before="5"/>
              <w:ind w:left="16" w:right="136"/>
              <w:jc w:val="both"/>
              <w:rPr>
                <w:color w:val="000000"/>
              </w:rPr>
            </w:pPr>
            <w:r>
              <w:rPr>
                <w:b/>
                <w:color w:val="000000"/>
              </w:rPr>
              <w:lastRenderedPageBreak/>
              <w:t>5</w:t>
            </w:r>
            <w:r w:rsidR="00292467">
              <w:rPr>
                <w:b/>
                <w:color w:val="000000"/>
              </w:rPr>
              <w:t xml:space="preserve">. </w:t>
            </w:r>
            <w:r w:rsidR="00292467">
              <w:rPr>
                <w:color w:val="000000"/>
              </w:rPr>
              <w:t xml:space="preserve">Tratando-se de solicitação de repactuação baseada em variação de custos decorrente do mercado, para o qual não haja índice previsto no contrato, comprovação, </w:t>
            </w:r>
            <w:r w:rsidR="00292467" w:rsidRPr="00A479F8">
              <w:rPr>
                <w:color w:val="000000"/>
                <w:lang w:val="pt-BR"/>
              </w:rPr>
              <w:t>pelo</w:t>
            </w:r>
            <w:r w:rsidR="00292467">
              <w:rPr>
                <w:color w:val="000000"/>
              </w:rPr>
              <w:t xml:space="preserve"> contratado, do aumento dos custos</w:t>
            </w:r>
            <w:r>
              <w:rPr>
                <w:color w:val="000000"/>
              </w:rPr>
              <w:t>.</w:t>
            </w:r>
          </w:p>
          <w:p w14:paraId="4BA25BA2" w14:textId="49D8CE32" w:rsidR="00E71520" w:rsidRDefault="00E71520" w:rsidP="005541D3">
            <w:pPr>
              <w:pBdr>
                <w:top w:val="nil"/>
                <w:left w:val="nil"/>
                <w:bottom w:val="nil"/>
                <w:right w:val="nil"/>
                <w:between w:val="nil"/>
              </w:pBdr>
              <w:spacing w:before="5"/>
              <w:ind w:left="16" w:right="136"/>
              <w:jc w:val="both"/>
              <w:rPr>
                <w:color w:val="00000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14:paraId="2EA2377C" w14:textId="77777777" w:rsidR="00292467" w:rsidRDefault="00292467" w:rsidP="005541D3">
            <w:pPr>
              <w:pBdr>
                <w:top w:val="nil"/>
                <w:left w:val="nil"/>
                <w:bottom w:val="nil"/>
                <w:right w:val="nil"/>
                <w:between w:val="nil"/>
              </w:pBdr>
              <w:rPr>
                <w:rFonts w:ascii="Times New Roman" w:eastAsia="Times New Roman" w:hAnsi="Times New Roman" w:cs="Times New Roman"/>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0375D86" w14:textId="77777777" w:rsidR="00292467" w:rsidRDefault="00292467" w:rsidP="005541D3">
            <w:pPr>
              <w:pBdr>
                <w:top w:val="nil"/>
                <w:left w:val="nil"/>
                <w:bottom w:val="nil"/>
                <w:right w:val="nil"/>
                <w:between w:val="nil"/>
              </w:pBdr>
              <w:rPr>
                <w:rFonts w:ascii="Times New Roman" w:eastAsia="Times New Roman" w:hAnsi="Times New Roman" w:cs="Times New Roman"/>
                <w:color w:val="000000"/>
                <w:sz w:val="18"/>
                <w:szCs w:val="18"/>
              </w:rPr>
            </w:pPr>
          </w:p>
        </w:tc>
      </w:tr>
    </w:tbl>
    <w:tbl>
      <w:tblPr>
        <w:tblStyle w:val="a"/>
        <w:tblW w:w="10348" w:type="dxa"/>
        <w:tblInd w:w="-572" w:type="dxa"/>
        <w:tblLayout w:type="fixed"/>
        <w:tblLook w:val="0000" w:firstRow="0" w:lastRow="0" w:firstColumn="0" w:lastColumn="0" w:noHBand="0" w:noVBand="0"/>
      </w:tblPr>
      <w:tblGrid>
        <w:gridCol w:w="8130"/>
        <w:gridCol w:w="942"/>
        <w:gridCol w:w="1276"/>
      </w:tblGrid>
      <w:tr w:rsidR="00FC59B3" w14:paraId="36C4B808" w14:textId="77777777" w:rsidTr="00C21854">
        <w:trPr>
          <w:trHeight w:val="552"/>
        </w:trPr>
        <w:tc>
          <w:tcPr>
            <w:tcW w:w="8130" w:type="dxa"/>
            <w:tcBorders>
              <w:top w:val="single" w:sz="4" w:space="0" w:color="000000"/>
              <w:left w:val="single" w:sz="4" w:space="0" w:color="000000"/>
              <w:bottom w:val="single" w:sz="4" w:space="0" w:color="000000"/>
              <w:right w:val="single" w:sz="4" w:space="0" w:color="000000"/>
            </w:tcBorders>
            <w:shd w:val="clear" w:color="auto" w:fill="auto"/>
          </w:tcPr>
          <w:p w14:paraId="442DCE51" w14:textId="1BB9B3C5" w:rsidR="002D7ECB" w:rsidRPr="0071132A" w:rsidRDefault="00E71520" w:rsidP="002D7ECB">
            <w:pPr>
              <w:pBdr>
                <w:top w:val="nil"/>
                <w:left w:val="nil"/>
                <w:bottom w:val="nil"/>
                <w:right w:val="nil"/>
                <w:between w:val="nil"/>
              </w:pBdr>
              <w:spacing w:before="5"/>
              <w:ind w:left="16" w:right="136"/>
              <w:jc w:val="both"/>
              <w:rPr>
                <w:color w:val="000000"/>
              </w:rPr>
            </w:pPr>
            <w:r>
              <w:rPr>
                <w:b/>
                <w:color w:val="000000"/>
              </w:rPr>
              <w:t>6</w:t>
            </w:r>
            <w:r w:rsidR="00AC42BB">
              <w:rPr>
                <w:b/>
                <w:color w:val="000000"/>
              </w:rPr>
              <w:t xml:space="preserve">. </w:t>
            </w:r>
            <w:r w:rsidR="00AC42BB">
              <w:rPr>
                <w:color w:val="000000"/>
              </w:rPr>
              <w:t>Verificação</w:t>
            </w:r>
            <w:r w:rsidR="00AC42BB">
              <w:rPr>
                <w:b/>
                <w:color w:val="000000"/>
              </w:rPr>
              <w:t xml:space="preserve"> </w:t>
            </w:r>
            <w:r w:rsidR="00AC42BB">
              <w:rPr>
                <w:color w:val="000000"/>
              </w:rPr>
              <w:t xml:space="preserve">de que a </w:t>
            </w:r>
            <w:r w:rsidR="00AC42BB" w:rsidRPr="0013492B">
              <w:rPr>
                <w:b/>
                <w:bCs/>
                <w:color w:val="000000"/>
              </w:rPr>
              <w:t>solicitação da repactuação</w:t>
            </w:r>
            <w:r w:rsidR="00AC42BB">
              <w:rPr>
                <w:color w:val="000000"/>
              </w:rPr>
              <w:t xml:space="preserve"> foi feita </w:t>
            </w:r>
            <w:r w:rsidR="002D7ECB" w:rsidRPr="0071132A">
              <w:rPr>
                <w:color w:val="000000"/>
              </w:rPr>
              <w:t xml:space="preserve">nos seguintes </w:t>
            </w:r>
            <w:r w:rsidR="002D7ECB" w:rsidRPr="0013492B">
              <w:rPr>
                <w:b/>
                <w:bCs/>
                <w:color w:val="000000"/>
              </w:rPr>
              <w:t>prazos</w:t>
            </w:r>
            <w:r w:rsidR="002D7ECB" w:rsidRPr="0071132A">
              <w:rPr>
                <w:color w:val="000000"/>
              </w:rPr>
              <w:t xml:space="preserve">, sob pena de </w:t>
            </w:r>
            <w:r w:rsidR="002D7ECB" w:rsidRPr="00334826">
              <w:rPr>
                <w:rFonts w:asciiTheme="majorHAnsi" w:eastAsia="Times New Roman" w:hAnsiTheme="majorHAnsi" w:cstheme="majorHAnsi"/>
                <w:color w:val="181818"/>
                <w:lang w:val="pt-BR"/>
              </w:rPr>
              <w:t>preclusão</w:t>
            </w:r>
            <w:r w:rsidR="002D7ECB" w:rsidRPr="0071132A">
              <w:rPr>
                <w:color w:val="000000"/>
              </w:rPr>
              <w:t>:</w:t>
            </w:r>
          </w:p>
          <w:p w14:paraId="2C50DD02" w14:textId="77777777" w:rsidR="002D7ECB" w:rsidRPr="0071132A" w:rsidRDefault="002D7ECB" w:rsidP="002D7ECB">
            <w:pPr>
              <w:pBdr>
                <w:top w:val="nil"/>
                <w:left w:val="nil"/>
                <w:bottom w:val="nil"/>
                <w:right w:val="nil"/>
                <w:between w:val="nil"/>
              </w:pBdr>
              <w:spacing w:line="276" w:lineRule="auto"/>
              <w:ind w:left="484" w:right="127" w:hanging="197"/>
              <w:jc w:val="both"/>
              <w:rPr>
                <w:color w:val="000000"/>
              </w:rPr>
            </w:pPr>
          </w:p>
          <w:p w14:paraId="353B5890" w14:textId="77777777" w:rsidR="002D7ECB" w:rsidRPr="003D122E" w:rsidRDefault="002D7ECB" w:rsidP="002D7ECB">
            <w:pPr>
              <w:pStyle w:val="PargrafodaLista"/>
              <w:numPr>
                <w:ilvl w:val="0"/>
                <w:numId w:val="1"/>
              </w:numPr>
              <w:pBdr>
                <w:top w:val="nil"/>
                <w:left w:val="nil"/>
                <w:bottom w:val="nil"/>
                <w:right w:val="nil"/>
                <w:between w:val="nil"/>
              </w:pBdr>
              <w:spacing w:line="276" w:lineRule="auto"/>
              <w:ind w:right="127"/>
              <w:jc w:val="both"/>
              <w:rPr>
                <w:color w:val="000000"/>
              </w:rPr>
            </w:pPr>
            <w:r w:rsidRPr="003D122E">
              <w:rPr>
                <w:color w:val="000000"/>
              </w:rPr>
              <w:t>antes do fim da vigência contratual, em relação a todos os contratos;</w:t>
            </w:r>
          </w:p>
          <w:p w14:paraId="40C1670D" w14:textId="77777777" w:rsidR="002D7ECB" w:rsidRPr="0071132A" w:rsidRDefault="002D7ECB" w:rsidP="002D7ECB">
            <w:pPr>
              <w:pBdr>
                <w:top w:val="nil"/>
                <w:left w:val="nil"/>
                <w:bottom w:val="nil"/>
                <w:right w:val="nil"/>
                <w:between w:val="nil"/>
              </w:pBdr>
              <w:spacing w:line="276" w:lineRule="auto"/>
              <w:ind w:left="484" w:right="127" w:hanging="197"/>
              <w:jc w:val="both"/>
              <w:rPr>
                <w:color w:val="000000"/>
              </w:rPr>
            </w:pPr>
          </w:p>
          <w:p w14:paraId="569B3649" w14:textId="77777777" w:rsidR="002D7ECB" w:rsidRPr="003D122E" w:rsidRDefault="002D7ECB" w:rsidP="002D7ECB">
            <w:pPr>
              <w:pStyle w:val="PargrafodaLista"/>
              <w:numPr>
                <w:ilvl w:val="0"/>
                <w:numId w:val="1"/>
              </w:numPr>
              <w:pBdr>
                <w:top w:val="nil"/>
                <w:left w:val="nil"/>
                <w:bottom w:val="nil"/>
                <w:right w:val="nil"/>
                <w:between w:val="nil"/>
              </w:pBdr>
              <w:spacing w:line="276" w:lineRule="auto"/>
              <w:ind w:right="127"/>
              <w:jc w:val="both"/>
              <w:rPr>
                <w:color w:val="000000"/>
              </w:rPr>
            </w:pPr>
            <w:r w:rsidRPr="003D122E">
              <w:rPr>
                <w:color w:val="000000"/>
              </w:rPr>
              <w:t>antes da data limite para prorrogação contratual, nos contratos de serviços ou de fornecimento contínuos;</w:t>
            </w:r>
          </w:p>
          <w:p w14:paraId="1E3C7DF8" w14:textId="77777777" w:rsidR="002D7ECB" w:rsidRPr="0071132A" w:rsidRDefault="002D7ECB" w:rsidP="002D7ECB">
            <w:pPr>
              <w:pBdr>
                <w:top w:val="nil"/>
                <w:left w:val="nil"/>
                <w:bottom w:val="nil"/>
                <w:right w:val="nil"/>
                <w:between w:val="nil"/>
              </w:pBdr>
              <w:spacing w:line="276" w:lineRule="auto"/>
              <w:ind w:left="484" w:right="127" w:hanging="197"/>
              <w:jc w:val="both"/>
              <w:rPr>
                <w:color w:val="000000"/>
              </w:rPr>
            </w:pPr>
          </w:p>
          <w:p w14:paraId="11B94DFE" w14:textId="77777777" w:rsidR="002D7ECB" w:rsidRDefault="002D7ECB" w:rsidP="002D7ECB">
            <w:pPr>
              <w:pBdr>
                <w:top w:val="nil"/>
                <w:left w:val="nil"/>
                <w:bottom w:val="nil"/>
                <w:right w:val="nil"/>
                <w:between w:val="nil"/>
              </w:pBdr>
              <w:spacing w:before="5"/>
              <w:ind w:left="16" w:right="136"/>
              <w:jc w:val="both"/>
              <w:rPr>
                <w:rFonts w:asciiTheme="majorHAnsi" w:hAnsiTheme="majorHAnsi" w:cstheme="majorHAnsi"/>
                <w:i/>
                <w:iCs/>
                <w:color w:val="000000"/>
              </w:rPr>
            </w:pPr>
            <w:r w:rsidRPr="003D122E">
              <w:rPr>
                <w:rFonts w:asciiTheme="majorHAnsi" w:hAnsiTheme="majorHAnsi" w:cstheme="majorHAnsi"/>
                <w:i/>
                <w:iCs/>
                <w:color w:val="000000"/>
              </w:rPr>
              <w:t xml:space="preserve">Obs.: Verificar se não há cláusula expressa de renúncia a </w:t>
            </w:r>
            <w:r>
              <w:rPr>
                <w:rFonts w:asciiTheme="majorHAnsi" w:hAnsiTheme="majorHAnsi" w:cstheme="majorHAnsi"/>
                <w:i/>
                <w:iCs/>
                <w:color w:val="000000"/>
              </w:rPr>
              <w:t>repactuação</w:t>
            </w:r>
            <w:r w:rsidRPr="003D122E">
              <w:rPr>
                <w:rFonts w:asciiTheme="majorHAnsi" w:hAnsiTheme="majorHAnsi" w:cstheme="majorHAnsi"/>
                <w:i/>
                <w:iCs/>
                <w:color w:val="000000"/>
              </w:rPr>
              <w:t xml:space="preserve"> pretérit</w:t>
            </w:r>
            <w:r>
              <w:rPr>
                <w:rFonts w:asciiTheme="majorHAnsi" w:hAnsiTheme="majorHAnsi" w:cstheme="majorHAnsi"/>
                <w:i/>
                <w:iCs/>
                <w:color w:val="000000"/>
              </w:rPr>
              <w:t>a</w:t>
            </w:r>
            <w:r w:rsidRPr="003D122E">
              <w:rPr>
                <w:rFonts w:asciiTheme="majorHAnsi" w:hAnsiTheme="majorHAnsi" w:cstheme="majorHAnsi"/>
                <w:i/>
                <w:iCs/>
                <w:color w:val="000000"/>
              </w:rPr>
              <w:t xml:space="preserve"> em aditivo anterior, referente ao período solicitado.</w:t>
            </w:r>
          </w:p>
          <w:p w14:paraId="036BA72C" w14:textId="13D2970B" w:rsidR="002D7ECB" w:rsidRDefault="002D7ECB" w:rsidP="002D7ECB">
            <w:pPr>
              <w:pBdr>
                <w:top w:val="nil"/>
                <w:left w:val="nil"/>
                <w:bottom w:val="nil"/>
                <w:right w:val="nil"/>
                <w:between w:val="nil"/>
              </w:pBdr>
              <w:spacing w:before="5"/>
              <w:ind w:right="136"/>
              <w:jc w:val="both"/>
              <w:rPr>
                <w:b/>
                <w:color w:val="000000"/>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53F8EB25" w14:textId="77777777" w:rsidR="00FC59B3" w:rsidRDefault="00FC59B3">
            <w:pPr>
              <w:pBdr>
                <w:top w:val="nil"/>
                <w:left w:val="nil"/>
                <w:bottom w:val="nil"/>
                <w:right w:val="nil"/>
                <w:between w:val="nil"/>
              </w:pBdr>
              <w:rPr>
                <w:rFonts w:ascii="Times New Roman" w:eastAsia="Times New Roman" w:hAnsi="Times New Roman" w:cs="Times New Roman"/>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61D212" w14:textId="77777777" w:rsidR="00FC59B3" w:rsidRDefault="00FC59B3">
            <w:pPr>
              <w:pBdr>
                <w:top w:val="nil"/>
                <w:left w:val="nil"/>
                <w:bottom w:val="nil"/>
                <w:right w:val="nil"/>
                <w:between w:val="nil"/>
              </w:pBdr>
              <w:rPr>
                <w:rFonts w:ascii="Times New Roman" w:eastAsia="Times New Roman" w:hAnsi="Times New Roman" w:cs="Times New Roman"/>
                <w:color w:val="000000"/>
                <w:sz w:val="18"/>
                <w:szCs w:val="18"/>
              </w:rPr>
            </w:pPr>
          </w:p>
        </w:tc>
      </w:tr>
    </w:tbl>
    <w:tbl>
      <w:tblPr>
        <w:tblStyle w:val="a0"/>
        <w:tblW w:w="10348" w:type="dxa"/>
        <w:tblInd w:w="-572" w:type="dxa"/>
        <w:tblLayout w:type="fixed"/>
        <w:tblLook w:val="0000" w:firstRow="0" w:lastRow="0" w:firstColumn="0" w:lastColumn="0" w:noHBand="0" w:noVBand="0"/>
      </w:tblPr>
      <w:tblGrid>
        <w:gridCol w:w="8130"/>
        <w:gridCol w:w="868"/>
        <w:gridCol w:w="1350"/>
      </w:tblGrid>
      <w:tr w:rsidR="00FC59B3" w14:paraId="1B14C7CB" w14:textId="77777777" w:rsidTr="00C21854">
        <w:trPr>
          <w:trHeight w:val="653"/>
        </w:trPr>
        <w:tc>
          <w:tcPr>
            <w:tcW w:w="8130" w:type="dxa"/>
            <w:tcBorders>
              <w:top w:val="single" w:sz="4" w:space="0" w:color="000000"/>
              <w:left w:val="single" w:sz="4" w:space="0" w:color="000000"/>
              <w:bottom w:val="single" w:sz="4" w:space="0" w:color="000000"/>
              <w:right w:val="single" w:sz="4" w:space="0" w:color="000000"/>
            </w:tcBorders>
            <w:shd w:val="clear" w:color="auto" w:fill="auto"/>
          </w:tcPr>
          <w:p w14:paraId="67CBC929" w14:textId="29D26C08" w:rsidR="00FC59B3" w:rsidRDefault="00E71520" w:rsidP="00A479F8">
            <w:pPr>
              <w:pBdr>
                <w:top w:val="nil"/>
                <w:left w:val="nil"/>
                <w:bottom w:val="nil"/>
                <w:right w:val="nil"/>
                <w:between w:val="nil"/>
              </w:pBdr>
              <w:spacing w:before="5"/>
              <w:ind w:left="16" w:right="136"/>
              <w:jc w:val="both"/>
              <w:rPr>
                <w:color w:val="000000"/>
              </w:rPr>
            </w:pPr>
            <w:r>
              <w:rPr>
                <w:b/>
                <w:color w:val="000000"/>
              </w:rPr>
              <w:t>7</w:t>
            </w:r>
            <w:r w:rsidR="00AC42BB">
              <w:rPr>
                <w:b/>
                <w:color w:val="000000"/>
              </w:rPr>
              <w:t xml:space="preserve">. </w:t>
            </w:r>
            <w:r w:rsidR="00AC42BB">
              <w:rPr>
                <w:color w:val="000000"/>
              </w:rPr>
              <w:t xml:space="preserve">Em relação à verificação da </w:t>
            </w:r>
            <w:r w:rsidR="00AC42BB">
              <w:rPr>
                <w:b/>
                <w:color w:val="000000"/>
              </w:rPr>
              <w:t xml:space="preserve">periodicidade da repactuação </w:t>
            </w:r>
            <w:r w:rsidR="00AC42BB">
              <w:rPr>
                <w:color w:val="000000"/>
              </w:rPr>
              <w:t xml:space="preserve">no caso dos contratos </w:t>
            </w:r>
            <w:r w:rsidR="00AC42BB" w:rsidRPr="00A479F8">
              <w:rPr>
                <w:color w:val="000000"/>
                <w:lang w:val="pt-BR"/>
              </w:rPr>
              <w:t>de</w:t>
            </w:r>
            <w:r w:rsidR="00AC42BB">
              <w:rPr>
                <w:color w:val="000000"/>
              </w:rPr>
              <w:t xml:space="preserve"> serviços com dedicação exclusiva de mão de obra: </w:t>
            </w:r>
          </w:p>
          <w:p w14:paraId="0FF12082" w14:textId="77777777" w:rsidR="00FC59B3" w:rsidRDefault="00FC59B3">
            <w:pPr>
              <w:pBdr>
                <w:top w:val="nil"/>
                <w:left w:val="nil"/>
                <w:bottom w:val="nil"/>
                <w:right w:val="nil"/>
                <w:between w:val="nil"/>
              </w:pBdr>
              <w:tabs>
                <w:tab w:val="left" w:pos="712"/>
              </w:tabs>
              <w:spacing w:line="276" w:lineRule="auto"/>
              <w:ind w:left="712" w:right="125" w:hanging="425"/>
              <w:jc w:val="both"/>
              <w:rPr>
                <w:color w:val="000000"/>
              </w:rPr>
            </w:pPr>
          </w:p>
          <w:p w14:paraId="3078E34F" w14:textId="7A8BE010" w:rsidR="00FC59B3" w:rsidRDefault="004B5C9B">
            <w:pPr>
              <w:pBdr>
                <w:top w:val="nil"/>
                <w:left w:val="nil"/>
                <w:bottom w:val="nil"/>
                <w:right w:val="nil"/>
                <w:between w:val="nil"/>
              </w:pBdr>
              <w:spacing w:line="276" w:lineRule="auto"/>
              <w:ind w:left="909" w:right="125"/>
              <w:jc w:val="both"/>
              <w:rPr>
                <w:color w:val="000000"/>
              </w:rPr>
            </w:pPr>
            <w:r w:rsidRPr="004B5C9B">
              <w:rPr>
                <w:b/>
                <w:bCs/>
                <w:color w:val="000000"/>
              </w:rPr>
              <w:t>6</w:t>
            </w:r>
            <w:r w:rsidR="00AC42BB" w:rsidRPr="004B5C9B">
              <w:rPr>
                <w:b/>
                <w:bCs/>
                <w:color w:val="000000"/>
              </w:rPr>
              <w:t>.1</w:t>
            </w:r>
            <w:r w:rsidR="00AC42BB" w:rsidRPr="00713055">
              <w:rPr>
                <w:b/>
                <w:bCs/>
                <w:color w:val="000000"/>
              </w:rPr>
              <w:t xml:space="preserve">. Em relação aos itens relativos à remuneração de mão-de-obra, aos benefícios e aos encargos sociais, trabalhistas e previdenciários: </w:t>
            </w:r>
            <w:r w:rsidR="00AC42BB">
              <w:rPr>
                <w:color w:val="000000"/>
              </w:rPr>
              <w:t>a partir da vigência da nova Convenção Coletiva do Trabalho (CCT) aplicável à categoria.</w:t>
            </w:r>
          </w:p>
          <w:p w14:paraId="28B51D80" w14:textId="77777777" w:rsidR="00FC59B3" w:rsidRDefault="00AC42BB">
            <w:pPr>
              <w:pBdr>
                <w:top w:val="nil"/>
                <w:left w:val="nil"/>
                <w:bottom w:val="nil"/>
                <w:right w:val="nil"/>
                <w:between w:val="nil"/>
              </w:pBdr>
              <w:spacing w:line="276" w:lineRule="auto"/>
              <w:ind w:left="909" w:right="125"/>
              <w:jc w:val="both"/>
              <w:rPr>
                <w:color w:val="000000"/>
              </w:rPr>
            </w:pPr>
            <w:r>
              <w:rPr>
                <w:color w:val="000000"/>
              </w:rPr>
              <w:t>- Obs.: A contratada deve instruir o pedido com cópia da CCT, a fim de se verificar a data de início da vigência.</w:t>
            </w:r>
          </w:p>
          <w:p w14:paraId="47397C22" w14:textId="77777777" w:rsidR="00FC59B3" w:rsidRDefault="00FC59B3">
            <w:pPr>
              <w:pBdr>
                <w:top w:val="nil"/>
                <w:left w:val="nil"/>
                <w:bottom w:val="nil"/>
                <w:right w:val="nil"/>
                <w:between w:val="nil"/>
              </w:pBdr>
              <w:spacing w:line="276" w:lineRule="auto"/>
              <w:ind w:left="909" w:right="125"/>
              <w:jc w:val="both"/>
              <w:rPr>
                <w:color w:val="000000"/>
              </w:rPr>
            </w:pPr>
          </w:p>
          <w:p w14:paraId="035C0CE1" w14:textId="45F51F00" w:rsidR="00FC59B3" w:rsidRDefault="004B5C9B">
            <w:pPr>
              <w:pBdr>
                <w:top w:val="nil"/>
                <w:left w:val="nil"/>
                <w:bottom w:val="nil"/>
                <w:right w:val="nil"/>
                <w:between w:val="nil"/>
              </w:pBdr>
              <w:spacing w:line="276" w:lineRule="auto"/>
              <w:ind w:left="909" w:right="125"/>
              <w:jc w:val="both"/>
              <w:rPr>
                <w:color w:val="000000"/>
              </w:rPr>
            </w:pPr>
            <w:r w:rsidRPr="004B5C9B">
              <w:rPr>
                <w:b/>
                <w:bCs/>
                <w:color w:val="000000"/>
              </w:rPr>
              <w:t>6</w:t>
            </w:r>
            <w:r w:rsidR="00AC42BB" w:rsidRPr="004B5C9B">
              <w:rPr>
                <w:b/>
                <w:bCs/>
                <w:color w:val="000000"/>
              </w:rPr>
              <w:t>.2</w:t>
            </w:r>
            <w:r w:rsidR="00AC42BB" w:rsidRPr="00713055">
              <w:rPr>
                <w:b/>
                <w:bCs/>
                <w:color w:val="000000"/>
              </w:rPr>
              <w:t>. Em relação aos itens não previstos em normas coletivas de trabalho</w:t>
            </w:r>
            <w:r w:rsidR="00713055" w:rsidRPr="00713055">
              <w:rPr>
                <w:b/>
                <w:bCs/>
                <w:color w:val="000000"/>
              </w:rPr>
              <w:t xml:space="preserve"> (</w:t>
            </w:r>
            <w:r w:rsidR="00713055" w:rsidRPr="00713055">
              <w:rPr>
                <w:rFonts w:ascii="Arial" w:hAnsi="Arial" w:cs="Arial"/>
                <w:b/>
                <w:bCs/>
                <w:color w:val="000000"/>
                <w:sz w:val="20"/>
                <w:szCs w:val="20"/>
              </w:rPr>
              <w:t>custos decorrentes do mercado</w:t>
            </w:r>
            <w:r w:rsidR="00713055" w:rsidRPr="00713055">
              <w:rPr>
                <w:b/>
                <w:bCs/>
                <w:color w:val="000000"/>
              </w:rPr>
              <w:t>)</w:t>
            </w:r>
            <w:r w:rsidR="00AC42BB" w:rsidRPr="00713055">
              <w:rPr>
                <w:b/>
                <w:bCs/>
                <w:color w:val="000000"/>
              </w:rPr>
              <w:t xml:space="preserve">: </w:t>
            </w:r>
            <w:r w:rsidR="00AC42BB">
              <w:rPr>
                <w:color w:val="000000"/>
              </w:rPr>
              <w:t>a concessão d</w:t>
            </w:r>
            <w:r w:rsidR="00292467">
              <w:rPr>
                <w:color w:val="000000"/>
              </w:rPr>
              <w:t>a</w:t>
            </w:r>
            <w:r w:rsidR="00AC42BB">
              <w:rPr>
                <w:color w:val="000000"/>
              </w:rPr>
              <w:t xml:space="preserve"> primeir</w:t>
            </w:r>
            <w:r w:rsidR="00292467">
              <w:rPr>
                <w:color w:val="000000"/>
              </w:rPr>
              <w:t>a</w:t>
            </w:r>
            <w:r w:rsidR="00AC42BB">
              <w:rPr>
                <w:color w:val="000000"/>
              </w:rPr>
              <w:t xml:space="preserve"> </w:t>
            </w:r>
            <w:r w:rsidR="00292467">
              <w:rPr>
                <w:color w:val="000000"/>
              </w:rPr>
              <w:t xml:space="preserve">repactuação </w:t>
            </w:r>
            <w:r w:rsidR="00AC42BB">
              <w:rPr>
                <w:color w:val="000000"/>
              </w:rPr>
              <w:t xml:space="preserve">após 1 (um) ano da data limite para apresentação da proposta ou do orçamento a que ela se referir, conforme definido no contrato (para os contratos celebrados de acordo com a Lei 8.666/93); ou 01 (um) ano da data do orçamento estimado constante do ato convocatório da licitação ou, no caso das dispensas e das inexigibilidades, da data de apresentação da proposta (para os contratos celebrados de acordo com a Lei 14.133/21). Para </w:t>
            </w:r>
            <w:r w:rsidR="00292467">
              <w:rPr>
                <w:color w:val="000000"/>
              </w:rPr>
              <w:t>as repactuações</w:t>
            </w:r>
            <w:r w:rsidR="00AC42BB">
              <w:rPr>
                <w:color w:val="000000"/>
              </w:rPr>
              <w:t xml:space="preserve"> subsequentes, 01 (um) ano após o fato gerador que deu ensejo </w:t>
            </w:r>
            <w:r w:rsidR="00292467">
              <w:rPr>
                <w:color w:val="000000"/>
              </w:rPr>
              <w:t>à</w:t>
            </w:r>
            <w:r w:rsidR="00AC42BB">
              <w:rPr>
                <w:color w:val="000000"/>
              </w:rPr>
              <w:t xml:space="preserve"> último </w:t>
            </w:r>
            <w:r w:rsidR="00292467">
              <w:rPr>
                <w:color w:val="000000"/>
              </w:rPr>
              <w:t>repactuação</w:t>
            </w:r>
            <w:r w:rsidR="00AC42BB">
              <w:rPr>
                <w:color w:val="000000"/>
              </w:rPr>
              <w:t>.</w:t>
            </w:r>
          </w:p>
          <w:p w14:paraId="7D66D61F" w14:textId="77777777" w:rsidR="00FC59B3" w:rsidRDefault="00FC59B3">
            <w:pPr>
              <w:pBdr>
                <w:top w:val="nil"/>
                <w:left w:val="nil"/>
                <w:bottom w:val="nil"/>
                <w:right w:val="nil"/>
                <w:between w:val="nil"/>
              </w:pBdr>
              <w:spacing w:line="276" w:lineRule="auto"/>
              <w:ind w:left="909" w:right="125"/>
              <w:jc w:val="both"/>
              <w:rPr>
                <w:color w:val="000000"/>
              </w:rPr>
            </w:pPr>
          </w:p>
          <w:p w14:paraId="6D3160EA" w14:textId="77777777" w:rsidR="00FC59B3" w:rsidRDefault="00FC59B3">
            <w:pPr>
              <w:pBdr>
                <w:top w:val="nil"/>
                <w:left w:val="nil"/>
                <w:bottom w:val="nil"/>
                <w:right w:val="nil"/>
                <w:between w:val="nil"/>
              </w:pBdr>
              <w:tabs>
                <w:tab w:val="left" w:pos="712"/>
              </w:tabs>
              <w:spacing w:line="276" w:lineRule="auto"/>
              <w:ind w:left="712" w:right="125" w:hanging="425"/>
              <w:jc w:val="both"/>
              <w:rPr>
                <w:color w:val="00000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14:paraId="1A5FE260" w14:textId="77777777" w:rsidR="00FC59B3" w:rsidRDefault="00FC59B3">
            <w:pPr>
              <w:pBdr>
                <w:top w:val="nil"/>
                <w:left w:val="nil"/>
                <w:bottom w:val="nil"/>
                <w:right w:val="nil"/>
                <w:between w:val="nil"/>
              </w:pBdr>
              <w:rPr>
                <w:rFonts w:ascii="Times New Roman" w:eastAsia="Times New Roman" w:hAnsi="Times New Roman" w:cs="Times New Roman"/>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B7C4FF8" w14:textId="77777777" w:rsidR="00FC59B3" w:rsidRDefault="00FC59B3">
            <w:pPr>
              <w:pBdr>
                <w:top w:val="nil"/>
                <w:left w:val="nil"/>
                <w:bottom w:val="nil"/>
                <w:right w:val="nil"/>
                <w:between w:val="nil"/>
              </w:pBdr>
              <w:rPr>
                <w:rFonts w:ascii="Times New Roman" w:eastAsia="Times New Roman" w:hAnsi="Times New Roman" w:cs="Times New Roman"/>
                <w:color w:val="000000"/>
                <w:sz w:val="18"/>
                <w:szCs w:val="18"/>
              </w:rPr>
            </w:pPr>
          </w:p>
        </w:tc>
      </w:tr>
      <w:tr w:rsidR="00FC59B3" w14:paraId="6E1598D0" w14:textId="77777777" w:rsidTr="00C21854">
        <w:trPr>
          <w:trHeight w:val="600"/>
        </w:trPr>
        <w:tc>
          <w:tcPr>
            <w:tcW w:w="8130" w:type="dxa"/>
            <w:tcBorders>
              <w:top w:val="single" w:sz="4" w:space="0" w:color="000000"/>
              <w:left w:val="single" w:sz="4" w:space="0" w:color="000000"/>
              <w:bottom w:val="single" w:sz="4" w:space="0" w:color="000000"/>
              <w:right w:val="single" w:sz="4" w:space="0" w:color="000000"/>
            </w:tcBorders>
            <w:shd w:val="clear" w:color="auto" w:fill="auto"/>
          </w:tcPr>
          <w:p w14:paraId="15EB92EE" w14:textId="35299E84" w:rsidR="00FC59B3" w:rsidRDefault="00AC42BB" w:rsidP="00A479F8">
            <w:pPr>
              <w:pBdr>
                <w:top w:val="nil"/>
                <w:left w:val="nil"/>
                <w:bottom w:val="nil"/>
                <w:right w:val="nil"/>
                <w:between w:val="nil"/>
              </w:pBdr>
              <w:spacing w:before="5"/>
              <w:ind w:left="16" w:right="136"/>
              <w:jc w:val="both"/>
              <w:rPr>
                <w:color w:val="000000"/>
              </w:rPr>
            </w:pPr>
            <w:r>
              <w:rPr>
                <w:b/>
                <w:color w:val="000000"/>
              </w:rPr>
              <w:t>8. Manifestação técnica da contadoria</w:t>
            </w:r>
            <w:r>
              <w:rPr>
                <w:color w:val="000000"/>
              </w:rPr>
              <w:t xml:space="preserve"> que ratifique a planilha de variação dos custos apresentada pelo contratado, devidamente atestada por servidor responsável</w:t>
            </w:r>
            <w:r w:rsidR="00E71520">
              <w:rPr>
                <w:color w:val="000000"/>
              </w:rPr>
              <w:t>.</w:t>
            </w:r>
          </w:p>
          <w:p w14:paraId="4D368229" w14:textId="32237927" w:rsidR="00E71520" w:rsidRDefault="00E71520" w:rsidP="00A479F8">
            <w:pPr>
              <w:pBdr>
                <w:top w:val="nil"/>
                <w:left w:val="nil"/>
                <w:bottom w:val="nil"/>
                <w:right w:val="nil"/>
                <w:between w:val="nil"/>
              </w:pBdr>
              <w:spacing w:before="5"/>
              <w:ind w:left="16" w:right="136"/>
              <w:jc w:val="both"/>
              <w:rPr>
                <w:color w:val="00000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14:paraId="3F2C421A" w14:textId="77777777" w:rsidR="00FC59B3" w:rsidRDefault="00FC59B3">
            <w:pPr>
              <w:pBdr>
                <w:top w:val="nil"/>
                <w:left w:val="nil"/>
                <w:bottom w:val="nil"/>
                <w:right w:val="nil"/>
                <w:between w:val="nil"/>
              </w:pBdr>
              <w:rPr>
                <w:rFonts w:ascii="Times New Roman" w:eastAsia="Times New Roman" w:hAnsi="Times New Roman" w:cs="Times New Roman"/>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FF0A5CE" w14:textId="77777777" w:rsidR="00FC59B3" w:rsidRDefault="00FC59B3">
            <w:pPr>
              <w:pBdr>
                <w:top w:val="nil"/>
                <w:left w:val="nil"/>
                <w:bottom w:val="nil"/>
                <w:right w:val="nil"/>
                <w:between w:val="nil"/>
              </w:pBdr>
              <w:rPr>
                <w:rFonts w:ascii="Times New Roman" w:eastAsia="Times New Roman" w:hAnsi="Times New Roman" w:cs="Times New Roman"/>
                <w:color w:val="000000"/>
                <w:sz w:val="18"/>
                <w:szCs w:val="18"/>
              </w:rPr>
            </w:pPr>
          </w:p>
        </w:tc>
      </w:tr>
      <w:tr w:rsidR="00FC59B3" w14:paraId="16518FCE" w14:textId="77777777" w:rsidTr="00C21854">
        <w:trPr>
          <w:trHeight w:val="620"/>
        </w:trPr>
        <w:tc>
          <w:tcPr>
            <w:tcW w:w="8130" w:type="dxa"/>
            <w:tcBorders>
              <w:top w:val="single" w:sz="4" w:space="0" w:color="000000"/>
              <w:left w:val="single" w:sz="4" w:space="0" w:color="000000"/>
              <w:bottom w:val="single" w:sz="4" w:space="0" w:color="000000"/>
              <w:right w:val="single" w:sz="4" w:space="0" w:color="000000"/>
            </w:tcBorders>
            <w:shd w:val="clear" w:color="auto" w:fill="auto"/>
          </w:tcPr>
          <w:p w14:paraId="38EE4CBF" w14:textId="18B30B8B" w:rsidR="00FC59B3" w:rsidRDefault="00AC42BB" w:rsidP="00A479F8">
            <w:pPr>
              <w:pBdr>
                <w:top w:val="nil"/>
                <w:left w:val="nil"/>
                <w:bottom w:val="nil"/>
                <w:right w:val="nil"/>
                <w:between w:val="nil"/>
              </w:pBdr>
              <w:spacing w:before="5"/>
              <w:ind w:left="16" w:right="136"/>
              <w:jc w:val="both"/>
              <w:rPr>
                <w:color w:val="000000"/>
                <w:lang w:val="pt-BR"/>
              </w:rPr>
            </w:pPr>
            <w:r>
              <w:rPr>
                <w:b/>
                <w:color w:val="000000"/>
              </w:rPr>
              <w:t>9. Nota de empenho</w:t>
            </w:r>
            <w:r>
              <w:rPr>
                <w:color w:val="000000"/>
              </w:rPr>
              <w:t xml:space="preserve"> referente à diferença financeira decorrente do incremento do valor </w:t>
            </w:r>
            <w:r w:rsidRPr="00A479F8">
              <w:rPr>
                <w:color w:val="000000"/>
                <w:lang w:val="pt-BR"/>
              </w:rPr>
              <w:t>contratual</w:t>
            </w:r>
            <w:r w:rsidR="00E71520">
              <w:rPr>
                <w:color w:val="000000"/>
                <w:lang w:val="pt-BR"/>
              </w:rPr>
              <w:t>.</w:t>
            </w:r>
          </w:p>
          <w:p w14:paraId="4D94609E" w14:textId="09706C10" w:rsidR="00E71520" w:rsidRDefault="00E71520" w:rsidP="00A479F8">
            <w:pPr>
              <w:pBdr>
                <w:top w:val="nil"/>
                <w:left w:val="nil"/>
                <w:bottom w:val="nil"/>
                <w:right w:val="nil"/>
                <w:between w:val="nil"/>
              </w:pBdr>
              <w:spacing w:before="5"/>
              <w:ind w:left="16" w:right="136"/>
              <w:jc w:val="both"/>
              <w:rPr>
                <w:b/>
                <w:color w:val="00000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14:paraId="504B6D62" w14:textId="77777777" w:rsidR="00FC59B3" w:rsidRDefault="00FC59B3">
            <w:pPr>
              <w:pBdr>
                <w:top w:val="nil"/>
                <w:left w:val="nil"/>
                <w:bottom w:val="nil"/>
                <w:right w:val="nil"/>
                <w:between w:val="nil"/>
              </w:pBdr>
              <w:rPr>
                <w:rFonts w:ascii="Times New Roman" w:eastAsia="Times New Roman" w:hAnsi="Times New Roman" w:cs="Times New Roman"/>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8B01639" w14:textId="77777777" w:rsidR="00FC59B3" w:rsidRDefault="00FC59B3">
            <w:pPr>
              <w:pBdr>
                <w:top w:val="nil"/>
                <w:left w:val="nil"/>
                <w:bottom w:val="nil"/>
                <w:right w:val="nil"/>
                <w:between w:val="nil"/>
              </w:pBdr>
              <w:rPr>
                <w:rFonts w:ascii="Times New Roman" w:eastAsia="Times New Roman" w:hAnsi="Times New Roman" w:cs="Times New Roman"/>
                <w:color w:val="000000"/>
                <w:sz w:val="18"/>
                <w:szCs w:val="18"/>
              </w:rPr>
            </w:pPr>
          </w:p>
        </w:tc>
      </w:tr>
    </w:tbl>
    <w:p w14:paraId="5206987E" w14:textId="77777777" w:rsidR="00FC59B3" w:rsidRDefault="00FC59B3"/>
    <w:p w14:paraId="6214FEA0" w14:textId="77777777" w:rsidR="00FC59B3" w:rsidRDefault="00FC59B3"/>
    <w:p w14:paraId="5A792CB2" w14:textId="028ABBE4" w:rsidR="00FC59B3" w:rsidRDefault="00FC59B3"/>
    <w:p w14:paraId="1F56D8C5" w14:textId="61C6C739" w:rsidR="00E71520" w:rsidRDefault="00E71520"/>
    <w:tbl>
      <w:tblPr>
        <w:tblStyle w:val="a0"/>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7230"/>
        <w:gridCol w:w="2551"/>
      </w:tblGrid>
      <w:tr w:rsidR="006536FB" w:rsidRPr="005A4C66" w14:paraId="2A377381" w14:textId="77777777" w:rsidTr="00FF2569">
        <w:tc>
          <w:tcPr>
            <w:tcW w:w="10348" w:type="dxa"/>
            <w:gridSpan w:val="3"/>
          </w:tcPr>
          <w:p w14:paraId="59C279B7" w14:textId="77777777" w:rsidR="006536FB" w:rsidRPr="005A4C66" w:rsidRDefault="006536FB" w:rsidP="00FF2569">
            <w:pPr>
              <w:jc w:val="center"/>
              <w:rPr>
                <w:rFonts w:asciiTheme="majorHAnsi" w:hAnsiTheme="majorHAnsi" w:cstheme="majorHAnsi"/>
                <w:b/>
              </w:rPr>
            </w:pPr>
            <w:bookmarkStart w:id="0" w:name="_Hlk154678892"/>
            <w:r w:rsidRPr="005A4C66">
              <w:rPr>
                <w:rFonts w:asciiTheme="majorHAnsi" w:hAnsiTheme="majorHAnsi" w:cstheme="majorHAnsi"/>
                <w:b/>
              </w:rPr>
              <w:lastRenderedPageBreak/>
              <w:t>DOCUMENTOS DE REGULARIDADE</w:t>
            </w:r>
          </w:p>
          <w:p w14:paraId="14C44F07" w14:textId="77777777" w:rsidR="006536FB" w:rsidRDefault="006536FB" w:rsidP="00FF2569">
            <w:pPr>
              <w:jc w:val="center"/>
              <w:rPr>
                <w:rFonts w:asciiTheme="majorHAnsi" w:hAnsiTheme="majorHAnsi" w:cstheme="majorHAnsi"/>
              </w:rPr>
            </w:pPr>
            <w:r w:rsidRPr="005A4C66">
              <w:rPr>
                <w:rFonts w:asciiTheme="majorHAnsi" w:hAnsiTheme="majorHAnsi" w:cstheme="majorHAnsi"/>
              </w:rPr>
              <w:t>Verificar se o contratado mantém as mesmas condições de habilitação exigidas no edital da licitação</w:t>
            </w:r>
          </w:p>
          <w:p w14:paraId="4A188873" w14:textId="77777777" w:rsidR="006536FB" w:rsidRPr="005A4C66" w:rsidRDefault="006536FB" w:rsidP="00FF2569">
            <w:pPr>
              <w:jc w:val="center"/>
              <w:rPr>
                <w:rFonts w:asciiTheme="majorHAnsi" w:hAnsiTheme="majorHAnsi" w:cstheme="majorHAnsi"/>
                <w:b/>
              </w:rPr>
            </w:pPr>
            <w:r w:rsidRPr="000A417A">
              <w:rPr>
                <w:rFonts w:asciiTheme="majorHAnsi" w:hAnsiTheme="majorHAnsi" w:cstheme="majorHAnsi"/>
                <w:color w:val="000000" w:themeColor="text1"/>
              </w:rPr>
              <w:t>(</w:t>
            </w:r>
            <w:r>
              <w:rPr>
                <w:rFonts w:asciiTheme="majorHAnsi" w:hAnsiTheme="majorHAnsi" w:cstheme="majorHAnsi"/>
                <w:color w:val="000000" w:themeColor="text1"/>
              </w:rPr>
              <w:t xml:space="preserve">art. 91, §4º e </w:t>
            </w:r>
            <w:r w:rsidRPr="000A417A">
              <w:rPr>
                <w:rFonts w:asciiTheme="majorHAnsi" w:hAnsiTheme="majorHAnsi" w:cstheme="majorHAnsi"/>
                <w:color w:val="000000" w:themeColor="text1"/>
              </w:rPr>
              <w:t>art. 92, XVI, da Lei nº 14.133/21)</w:t>
            </w:r>
          </w:p>
        </w:tc>
      </w:tr>
      <w:tr w:rsidR="006536FB" w:rsidRPr="005A4C66" w14:paraId="3F1ADBE0" w14:textId="77777777" w:rsidTr="00FF2569">
        <w:trPr>
          <w:trHeight w:val="397"/>
        </w:trPr>
        <w:tc>
          <w:tcPr>
            <w:tcW w:w="567" w:type="dxa"/>
          </w:tcPr>
          <w:p w14:paraId="2C56D988" w14:textId="77777777" w:rsidR="006536FB" w:rsidRPr="005A4C66" w:rsidRDefault="006536FB" w:rsidP="00FF2569">
            <w:pPr>
              <w:rPr>
                <w:rFonts w:asciiTheme="majorHAnsi" w:hAnsiTheme="majorHAnsi" w:cstheme="majorHAnsi"/>
              </w:rPr>
            </w:pPr>
          </w:p>
        </w:tc>
        <w:tc>
          <w:tcPr>
            <w:tcW w:w="7230" w:type="dxa"/>
          </w:tcPr>
          <w:p w14:paraId="1AE3FCB1" w14:textId="77777777" w:rsidR="006536FB" w:rsidRPr="005A4C66" w:rsidRDefault="006536FB" w:rsidP="00FF2569">
            <w:pPr>
              <w:rPr>
                <w:rFonts w:asciiTheme="majorHAnsi" w:hAnsiTheme="majorHAnsi" w:cstheme="majorHAnsi"/>
              </w:rPr>
            </w:pPr>
          </w:p>
        </w:tc>
        <w:tc>
          <w:tcPr>
            <w:tcW w:w="2551" w:type="dxa"/>
          </w:tcPr>
          <w:p w14:paraId="3761D450" w14:textId="77777777" w:rsidR="006536FB" w:rsidRPr="005A4C66" w:rsidRDefault="006536FB" w:rsidP="00FF2569">
            <w:pPr>
              <w:jc w:val="center"/>
              <w:rPr>
                <w:rFonts w:asciiTheme="majorHAnsi" w:hAnsiTheme="majorHAnsi" w:cstheme="majorHAnsi"/>
                <w:b/>
                <w:bCs/>
              </w:rPr>
            </w:pPr>
            <w:r w:rsidRPr="005A4C66">
              <w:rPr>
                <w:rFonts w:asciiTheme="majorHAnsi" w:hAnsiTheme="majorHAnsi" w:cstheme="majorHAnsi"/>
                <w:b/>
                <w:bCs/>
              </w:rPr>
              <w:t>Despacho</w:t>
            </w:r>
          </w:p>
        </w:tc>
      </w:tr>
      <w:tr w:rsidR="006536FB" w:rsidRPr="005A4C66" w14:paraId="41DEE616" w14:textId="77777777" w:rsidTr="00FF2569">
        <w:trPr>
          <w:trHeight w:val="397"/>
        </w:trPr>
        <w:tc>
          <w:tcPr>
            <w:tcW w:w="567" w:type="dxa"/>
          </w:tcPr>
          <w:p w14:paraId="0471FFEA" w14:textId="77777777" w:rsidR="006536FB" w:rsidRPr="00875AA6" w:rsidRDefault="006536FB" w:rsidP="00FF2569">
            <w:pPr>
              <w:rPr>
                <w:rFonts w:asciiTheme="majorHAnsi" w:hAnsiTheme="majorHAnsi" w:cstheme="majorHAnsi"/>
                <w:b/>
                <w:bCs/>
              </w:rPr>
            </w:pPr>
            <w:r w:rsidRPr="00875AA6">
              <w:rPr>
                <w:rFonts w:asciiTheme="majorHAnsi" w:hAnsiTheme="majorHAnsi" w:cstheme="majorHAnsi"/>
                <w:b/>
                <w:bCs/>
              </w:rPr>
              <w:t>1.</w:t>
            </w:r>
          </w:p>
        </w:tc>
        <w:tc>
          <w:tcPr>
            <w:tcW w:w="7230" w:type="dxa"/>
          </w:tcPr>
          <w:p w14:paraId="247357D3" w14:textId="77777777" w:rsidR="006536FB" w:rsidRPr="005A4C66" w:rsidRDefault="006536FB" w:rsidP="00FF2569">
            <w:pPr>
              <w:rPr>
                <w:rFonts w:asciiTheme="majorHAnsi" w:hAnsiTheme="majorHAnsi" w:cstheme="majorHAnsi"/>
              </w:rPr>
            </w:pPr>
            <w:r w:rsidRPr="005A4C66">
              <w:rPr>
                <w:rFonts w:asciiTheme="majorHAnsi" w:hAnsiTheme="majorHAnsi" w:cstheme="majorHAnsi"/>
              </w:rPr>
              <w:t>Cópia do contrato ou estatuto social</w:t>
            </w:r>
          </w:p>
        </w:tc>
        <w:tc>
          <w:tcPr>
            <w:tcW w:w="2551" w:type="dxa"/>
          </w:tcPr>
          <w:p w14:paraId="77FD0CBF" w14:textId="77777777" w:rsidR="006536FB" w:rsidRPr="005A4C66" w:rsidRDefault="006536FB" w:rsidP="00FF2569">
            <w:pPr>
              <w:rPr>
                <w:rFonts w:asciiTheme="majorHAnsi" w:hAnsiTheme="majorHAnsi" w:cstheme="majorHAnsi"/>
              </w:rPr>
            </w:pPr>
          </w:p>
        </w:tc>
      </w:tr>
      <w:tr w:rsidR="006536FB" w:rsidRPr="005A4C66" w14:paraId="16A80314" w14:textId="77777777" w:rsidTr="00FF2569">
        <w:trPr>
          <w:trHeight w:val="397"/>
        </w:trPr>
        <w:tc>
          <w:tcPr>
            <w:tcW w:w="567" w:type="dxa"/>
          </w:tcPr>
          <w:p w14:paraId="1F2DA6A5" w14:textId="77777777" w:rsidR="006536FB" w:rsidRPr="00875AA6" w:rsidRDefault="006536FB" w:rsidP="00FF2569">
            <w:pPr>
              <w:rPr>
                <w:rFonts w:asciiTheme="majorHAnsi" w:hAnsiTheme="majorHAnsi" w:cstheme="majorHAnsi"/>
                <w:b/>
                <w:bCs/>
              </w:rPr>
            </w:pPr>
            <w:r w:rsidRPr="00875AA6">
              <w:rPr>
                <w:rFonts w:asciiTheme="majorHAnsi" w:hAnsiTheme="majorHAnsi" w:cstheme="majorHAnsi"/>
                <w:b/>
                <w:bCs/>
              </w:rPr>
              <w:t>2.</w:t>
            </w:r>
          </w:p>
        </w:tc>
        <w:tc>
          <w:tcPr>
            <w:tcW w:w="7230" w:type="dxa"/>
          </w:tcPr>
          <w:p w14:paraId="355EDAD0" w14:textId="77777777" w:rsidR="006536FB" w:rsidRPr="005A4C66" w:rsidRDefault="006536FB" w:rsidP="00FF2569">
            <w:pPr>
              <w:rPr>
                <w:rFonts w:asciiTheme="majorHAnsi" w:hAnsiTheme="majorHAnsi" w:cstheme="majorHAnsi"/>
              </w:rPr>
            </w:pPr>
            <w:r w:rsidRPr="005A4C66">
              <w:rPr>
                <w:rFonts w:asciiTheme="majorHAnsi" w:hAnsiTheme="majorHAnsi" w:cstheme="majorHAnsi"/>
              </w:rPr>
              <w:t>de regularidade com as Fazenda Federal, Estadual e Municipal</w:t>
            </w:r>
          </w:p>
        </w:tc>
        <w:tc>
          <w:tcPr>
            <w:tcW w:w="2551" w:type="dxa"/>
          </w:tcPr>
          <w:p w14:paraId="12FD335C" w14:textId="77777777" w:rsidR="006536FB" w:rsidRPr="005A4C66" w:rsidRDefault="006536FB" w:rsidP="00FF2569">
            <w:pPr>
              <w:rPr>
                <w:rFonts w:asciiTheme="majorHAnsi" w:hAnsiTheme="majorHAnsi" w:cstheme="majorHAnsi"/>
              </w:rPr>
            </w:pPr>
          </w:p>
        </w:tc>
      </w:tr>
      <w:tr w:rsidR="006536FB" w:rsidRPr="005A4C66" w14:paraId="6FE7C669" w14:textId="77777777" w:rsidTr="00FF2569">
        <w:trPr>
          <w:trHeight w:val="397"/>
        </w:trPr>
        <w:tc>
          <w:tcPr>
            <w:tcW w:w="567" w:type="dxa"/>
          </w:tcPr>
          <w:p w14:paraId="468AC1A6" w14:textId="77777777" w:rsidR="006536FB" w:rsidRPr="00875AA6" w:rsidRDefault="006536FB" w:rsidP="00FF2569">
            <w:pPr>
              <w:rPr>
                <w:rFonts w:asciiTheme="majorHAnsi" w:hAnsiTheme="majorHAnsi" w:cstheme="majorHAnsi"/>
                <w:b/>
                <w:bCs/>
              </w:rPr>
            </w:pPr>
            <w:r w:rsidRPr="00875AA6">
              <w:rPr>
                <w:rFonts w:asciiTheme="majorHAnsi" w:hAnsiTheme="majorHAnsi" w:cstheme="majorHAnsi"/>
                <w:b/>
                <w:bCs/>
              </w:rPr>
              <w:t>3.</w:t>
            </w:r>
          </w:p>
        </w:tc>
        <w:tc>
          <w:tcPr>
            <w:tcW w:w="7230" w:type="dxa"/>
          </w:tcPr>
          <w:p w14:paraId="5433DDA9" w14:textId="77777777" w:rsidR="006536FB" w:rsidRPr="005A4C66" w:rsidRDefault="006536FB" w:rsidP="00FF2569">
            <w:pPr>
              <w:rPr>
                <w:rFonts w:asciiTheme="majorHAnsi" w:hAnsiTheme="majorHAnsi" w:cstheme="majorHAnsi"/>
              </w:rPr>
            </w:pPr>
            <w:r w:rsidRPr="005A4C66">
              <w:rPr>
                <w:rFonts w:asciiTheme="majorHAnsi" w:hAnsiTheme="majorHAnsi" w:cstheme="majorHAnsi"/>
              </w:rPr>
              <w:t>Certificado de regularidade do FGTS</w:t>
            </w:r>
          </w:p>
        </w:tc>
        <w:tc>
          <w:tcPr>
            <w:tcW w:w="2551" w:type="dxa"/>
          </w:tcPr>
          <w:p w14:paraId="64CB8CDC" w14:textId="77777777" w:rsidR="006536FB" w:rsidRPr="005A4C66" w:rsidRDefault="006536FB" w:rsidP="00FF2569">
            <w:pPr>
              <w:rPr>
                <w:rFonts w:asciiTheme="majorHAnsi" w:hAnsiTheme="majorHAnsi" w:cstheme="majorHAnsi"/>
              </w:rPr>
            </w:pPr>
          </w:p>
        </w:tc>
      </w:tr>
      <w:tr w:rsidR="006536FB" w:rsidRPr="005A4C66" w14:paraId="083DD231" w14:textId="77777777" w:rsidTr="00FF2569">
        <w:trPr>
          <w:trHeight w:val="397"/>
        </w:trPr>
        <w:tc>
          <w:tcPr>
            <w:tcW w:w="567" w:type="dxa"/>
          </w:tcPr>
          <w:p w14:paraId="29B398F7" w14:textId="77777777" w:rsidR="006536FB" w:rsidRPr="00875AA6" w:rsidRDefault="006536FB" w:rsidP="00FF2569">
            <w:pPr>
              <w:rPr>
                <w:rFonts w:asciiTheme="majorHAnsi" w:hAnsiTheme="majorHAnsi" w:cstheme="majorHAnsi"/>
                <w:b/>
                <w:bCs/>
              </w:rPr>
            </w:pPr>
            <w:r w:rsidRPr="00875AA6">
              <w:rPr>
                <w:rFonts w:asciiTheme="majorHAnsi" w:hAnsiTheme="majorHAnsi" w:cstheme="majorHAnsi"/>
                <w:b/>
                <w:bCs/>
              </w:rPr>
              <w:t>4.</w:t>
            </w:r>
          </w:p>
        </w:tc>
        <w:tc>
          <w:tcPr>
            <w:tcW w:w="7230" w:type="dxa"/>
          </w:tcPr>
          <w:p w14:paraId="6A000815" w14:textId="77777777" w:rsidR="006536FB" w:rsidRPr="005A4C66" w:rsidRDefault="006536FB" w:rsidP="00FF2569">
            <w:pPr>
              <w:rPr>
                <w:rFonts w:asciiTheme="majorHAnsi" w:hAnsiTheme="majorHAnsi" w:cstheme="majorHAnsi"/>
              </w:rPr>
            </w:pPr>
            <w:r w:rsidRPr="005A4C66">
              <w:rPr>
                <w:rFonts w:asciiTheme="majorHAnsi" w:hAnsiTheme="majorHAnsi" w:cstheme="majorHAnsi"/>
              </w:rPr>
              <w:t>Certidão de regularidade de débitos trabalhistas</w:t>
            </w:r>
          </w:p>
        </w:tc>
        <w:tc>
          <w:tcPr>
            <w:tcW w:w="2551" w:type="dxa"/>
          </w:tcPr>
          <w:p w14:paraId="1E42EAFE" w14:textId="77777777" w:rsidR="006536FB" w:rsidRPr="005A4C66" w:rsidRDefault="006536FB" w:rsidP="00FF2569">
            <w:pPr>
              <w:rPr>
                <w:rFonts w:asciiTheme="majorHAnsi" w:hAnsiTheme="majorHAnsi" w:cstheme="majorHAnsi"/>
              </w:rPr>
            </w:pPr>
          </w:p>
        </w:tc>
      </w:tr>
      <w:tr w:rsidR="006536FB" w:rsidRPr="005A4C66" w14:paraId="199EA7B4" w14:textId="77777777" w:rsidTr="00FF2569">
        <w:trPr>
          <w:trHeight w:val="397"/>
        </w:trPr>
        <w:tc>
          <w:tcPr>
            <w:tcW w:w="567" w:type="dxa"/>
          </w:tcPr>
          <w:p w14:paraId="46B552F4" w14:textId="77777777" w:rsidR="006536FB" w:rsidRPr="00875AA6" w:rsidRDefault="006536FB" w:rsidP="00FF2569">
            <w:pPr>
              <w:rPr>
                <w:rFonts w:asciiTheme="majorHAnsi" w:hAnsiTheme="majorHAnsi" w:cstheme="majorHAnsi"/>
                <w:b/>
                <w:bCs/>
              </w:rPr>
            </w:pPr>
            <w:r w:rsidRPr="00875AA6">
              <w:rPr>
                <w:rFonts w:asciiTheme="majorHAnsi" w:hAnsiTheme="majorHAnsi" w:cstheme="majorHAnsi"/>
                <w:b/>
                <w:bCs/>
              </w:rPr>
              <w:t>5.</w:t>
            </w:r>
          </w:p>
        </w:tc>
        <w:tc>
          <w:tcPr>
            <w:tcW w:w="7230" w:type="dxa"/>
          </w:tcPr>
          <w:p w14:paraId="353C3A7A" w14:textId="77777777" w:rsidR="006536FB" w:rsidRPr="005A4C66" w:rsidRDefault="006536FB" w:rsidP="00FF2569">
            <w:pPr>
              <w:rPr>
                <w:rFonts w:asciiTheme="majorHAnsi" w:hAnsiTheme="majorHAnsi" w:cstheme="majorHAnsi"/>
              </w:rPr>
            </w:pPr>
            <w:r w:rsidRPr="005A4C66">
              <w:rPr>
                <w:rFonts w:asciiTheme="majorHAnsi" w:hAnsiTheme="majorHAnsi" w:cstheme="majorHAnsi"/>
              </w:rPr>
              <w:t>Comprovante de inscrição e de situação cadastral ativa no CNPJ</w:t>
            </w:r>
          </w:p>
        </w:tc>
        <w:tc>
          <w:tcPr>
            <w:tcW w:w="2551" w:type="dxa"/>
          </w:tcPr>
          <w:p w14:paraId="629C1A02" w14:textId="77777777" w:rsidR="006536FB" w:rsidRPr="005A4C66" w:rsidRDefault="006536FB" w:rsidP="00FF2569">
            <w:pPr>
              <w:rPr>
                <w:rFonts w:asciiTheme="majorHAnsi" w:hAnsiTheme="majorHAnsi" w:cstheme="majorHAnsi"/>
              </w:rPr>
            </w:pPr>
          </w:p>
        </w:tc>
      </w:tr>
      <w:tr w:rsidR="006536FB" w:rsidRPr="005A4C66" w14:paraId="07BE047D" w14:textId="77777777" w:rsidTr="00FF2569">
        <w:trPr>
          <w:trHeight w:val="397"/>
        </w:trPr>
        <w:tc>
          <w:tcPr>
            <w:tcW w:w="567" w:type="dxa"/>
          </w:tcPr>
          <w:p w14:paraId="76946A39" w14:textId="77777777" w:rsidR="006536FB" w:rsidRPr="00875AA6" w:rsidRDefault="006536FB" w:rsidP="00FF2569">
            <w:pPr>
              <w:rPr>
                <w:rFonts w:asciiTheme="majorHAnsi" w:hAnsiTheme="majorHAnsi" w:cstheme="majorHAnsi"/>
                <w:b/>
                <w:bCs/>
              </w:rPr>
            </w:pPr>
            <w:r w:rsidRPr="00875AA6">
              <w:rPr>
                <w:rFonts w:asciiTheme="majorHAnsi" w:hAnsiTheme="majorHAnsi" w:cstheme="majorHAnsi"/>
                <w:b/>
                <w:bCs/>
              </w:rPr>
              <w:t xml:space="preserve">6. </w:t>
            </w:r>
          </w:p>
        </w:tc>
        <w:tc>
          <w:tcPr>
            <w:tcW w:w="7230" w:type="dxa"/>
          </w:tcPr>
          <w:p w14:paraId="36BBF1A3" w14:textId="77777777" w:rsidR="006536FB" w:rsidRPr="005A4C66" w:rsidRDefault="006536FB" w:rsidP="00FF2569">
            <w:pPr>
              <w:jc w:val="both"/>
              <w:rPr>
                <w:rFonts w:asciiTheme="majorHAnsi" w:hAnsiTheme="majorHAnsi" w:cstheme="majorHAnsi"/>
              </w:rPr>
            </w:pPr>
            <w:r w:rsidRPr="005A4C66">
              <w:rPr>
                <w:rFonts w:asciiTheme="majorHAnsi" w:hAnsiTheme="majorHAnsi" w:cstheme="majorHAnsi"/>
              </w:rPr>
              <w:t>Certidões</w:t>
            </w:r>
            <w:r w:rsidRPr="002163BB">
              <w:rPr>
                <w:rFonts w:asciiTheme="majorHAnsi" w:hAnsiTheme="majorHAnsi" w:cstheme="majorHAnsi"/>
              </w:rPr>
              <w:t xml:space="preserve"> negativas de inidoneidade</w:t>
            </w:r>
            <w:r>
              <w:rPr>
                <w:rFonts w:asciiTheme="majorHAnsi" w:hAnsiTheme="majorHAnsi" w:cstheme="majorHAnsi"/>
              </w:rPr>
              <w:t xml:space="preserve"> e</w:t>
            </w:r>
            <w:r w:rsidRPr="002163BB">
              <w:rPr>
                <w:rFonts w:asciiTheme="majorHAnsi" w:hAnsiTheme="majorHAnsi" w:cstheme="majorHAnsi"/>
              </w:rPr>
              <w:t xml:space="preserve"> de impedimento </w:t>
            </w:r>
            <w:r>
              <w:rPr>
                <w:rFonts w:asciiTheme="majorHAnsi" w:hAnsiTheme="majorHAnsi" w:cstheme="majorHAnsi"/>
              </w:rPr>
              <w:t xml:space="preserve">perante </w:t>
            </w:r>
            <w:r w:rsidRPr="002163BB">
              <w:rPr>
                <w:rFonts w:asciiTheme="majorHAnsi" w:hAnsiTheme="majorHAnsi" w:cstheme="majorHAnsi"/>
              </w:rPr>
              <w:t>o Cadastro Nacional de Empresas Inidôneas e Suspensas (Ceis) e o Cadastro Nacional de Empresas Punidas (Cnep)</w:t>
            </w:r>
          </w:p>
        </w:tc>
        <w:tc>
          <w:tcPr>
            <w:tcW w:w="2551" w:type="dxa"/>
          </w:tcPr>
          <w:p w14:paraId="6331C777" w14:textId="77777777" w:rsidR="006536FB" w:rsidRPr="005A4C66" w:rsidRDefault="006536FB" w:rsidP="00FF2569">
            <w:pPr>
              <w:rPr>
                <w:rFonts w:asciiTheme="majorHAnsi" w:hAnsiTheme="majorHAnsi" w:cstheme="majorHAnsi"/>
              </w:rPr>
            </w:pPr>
          </w:p>
        </w:tc>
      </w:tr>
      <w:bookmarkEnd w:id="0"/>
    </w:tbl>
    <w:p w14:paraId="1FBEE43D" w14:textId="77777777" w:rsidR="006536FB" w:rsidRPr="00B80481" w:rsidRDefault="006536FB" w:rsidP="006536FB">
      <w:pPr>
        <w:pBdr>
          <w:top w:val="nil"/>
          <w:left w:val="nil"/>
          <w:bottom w:val="nil"/>
          <w:right w:val="nil"/>
          <w:between w:val="nil"/>
        </w:pBdr>
        <w:spacing w:before="3"/>
        <w:rPr>
          <w:rFonts w:asciiTheme="majorHAnsi" w:hAnsiTheme="majorHAnsi" w:cstheme="majorHAnsi"/>
          <w:color w:val="000000"/>
        </w:rPr>
      </w:pPr>
    </w:p>
    <w:p w14:paraId="69EF0830" w14:textId="77777777" w:rsidR="00FC59B3" w:rsidRDefault="00FC59B3"/>
    <w:p w14:paraId="7787C37B" w14:textId="77777777" w:rsidR="00A479F8" w:rsidRPr="00BA3C5D" w:rsidRDefault="00A479F8" w:rsidP="00A479F8">
      <w:pPr>
        <w:pBdr>
          <w:top w:val="nil"/>
          <w:left w:val="nil"/>
          <w:bottom w:val="nil"/>
          <w:right w:val="nil"/>
          <w:between w:val="nil"/>
        </w:pBdr>
        <w:rPr>
          <w:rFonts w:asciiTheme="majorHAnsi" w:hAnsiTheme="majorHAnsi" w:cstheme="majorHAnsi"/>
          <w:color w:val="000000"/>
        </w:rPr>
      </w:pPr>
    </w:p>
    <w:p w14:paraId="2E6350AD" w14:textId="77777777" w:rsidR="00A479F8" w:rsidRPr="00CF4D15" w:rsidRDefault="00A479F8" w:rsidP="00A479F8">
      <w:pPr>
        <w:pBdr>
          <w:top w:val="nil"/>
          <w:left w:val="nil"/>
          <w:bottom w:val="nil"/>
          <w:right w:val="nil"/>
          <w:between w:val="nil"/>
        </w:pBdr>
        <w:ind w:left="103"/>
        <w:rPr>
          <w:rFonts w:asciiTheme="majorHAnsi" w:hAnsiTheme="majorHAnsi" w:cstheme="majorHAnsi"/>
          <w:b/>
          <w:bCs/>
          <w:color w:val="000000"/>
        </w:rPr>
      </w:pPr>
      <w:r w:rsidRPr="00CF4D15">
        <w:rPr>
          <w:rFonts w:asciiTheme="majorHAnsi" w:hAnsiTheme="majorHAnsi" w:cstheme="majorHAnsi"/>
          <w:b/>
          <w:bCs/>
          <w:color w:val="000000"/>
        </w:rPr>
        <w:t>AGENTE RESPONSÁVEL</w:t>
      </w:r>
    </w:p>
    <w:p w14:paraId="331AD497" w14:textId="77777777" w:rsidR="00A479F8" w:rsidRPr="00BA3C5D" w:rsidRDefault="00A479F8" w:rsidP="00A479F8">
      <w:pPr>
        <w:pBdr>
          <w:top w:val="nil"/>
          <w:left w:val="nil"/>
          <w:bottom w:val="nil"/>
          <w:right w:val="nil"/>
          <w:between w:val="nil"/>
        </w:pBdr>
        <w:rPr>
          <w:rFonts w:asciiTheme="majorHAnsi" w:hAnsiTheme="majorHAnsi" w:cstheme="majorHAnsi"/>
          <w:color w:val="000000"/>
        </w:rPr>
      </w:pPr>
    </w:p>
    <w:p w14:paraId="275A733B" w14:textId="77777777" w:rsidR="00A479F8" w:rsidRPr="00BA3C5D" w:rsidRDefault="00A479F8" w:rsidP="00A479F8">
      <w:pPr>
        <w:pBdr>
          <w:top w:val="nil"/>
          <w:left w:val="nil"/>
          <w:bottom w:val="nil"/>
          <w:right w:val="nil"/>
          <w:between w:val="nil"/>
        </w:pBdr>
        <w:ind w:left="103" w:right="4950"/>
        <w:rPr>
          <w:rFonts w:asciiTheme="majorHAnsi" w:hAnsiTheme="majorHAnsi" w:cstheme="majorHAnsi"/>
          <w:color w:val="000000"/>
        </w:rPr>
      </w:pPr>
      <w:r w:rsidRPr="00BA3C5D">
        <w:rPr>
          <w:rFonts w:asciiTheme="majorHAnsi" w:hAnsiTheme="majorHAnsi" w:cstheme="majorHAnsi"/>
          <w:color w:val="000000"/>
        </w:rPr>
        <w:t>Data:</w:t>
      </w:r>
    </w:p>
    <w:p w14:paraId="5403781F" w14:textId="77777777" w:rsidR="00A479F8" w:rsidRPr="00BA3C5D" w:rsidRDefault="00A479F8" w:rsidP="00A479F8">
      <w:pPr>
        <w:pBdr>
          <w:top w:val="nil"/>
          <w:left w:val="nil"/>
          <w:bottom w:val="nil"/>
          <w:right w:val="nil"/>
          <w:between w:val="nil"/>
        </w:pBdr>
        <w:spacing w:before="1"/>
        <w:rPr>
          <w:rFonts w:asciiTheme="majorHAnsi" w:hAnsiTheme="majorHAnsi" w:cstheme="majorHAnsi"/>
          <w:color w:val="000000"/>
        </w:rPr>
      </w:pPr>
    </w:p>
    <w:p w14:paraId="2424275D" w14:textId="77777777" w:rsidR="00A479F8" w:rsidRPr="00BA3C5D" w:rsidRDefault="00A479F8" w:rsidP="00A479F8">
      <w:pPr>
        <w:pBdr>
          <w:top w:val="nil"/>
          <w:left w:val="nil"/>
          <w:bottom w:val="nil"/>
          <w:right w:val="nil"/>
          <w:between w:val="nil"/>
        </w:pBdr>
        <w:ind w:left="103" w:right="4950"/>
        <w:rPr>
          <w:rFonts w:asciiTheme="majorHAnsi" w:hAnsiTheme="majorHAnsi" w:cstheme="majorHAnsi"/>
          <w:color w:val="000000"/>
        </w:rPr>
      </w:pPr>
      <w:r w:rsidRPr="00BA3C5D">
        <w:rPr>
          <w:rFonts w:asciiTheme="majorHAnsi" w:hAnsiTheme="majorHAnsi" w:cstheme="majorHAnsi"/>
          <w:color w:val="000000"/>
        </w:rPr>
        <w:t>Assinatura:</w:t>
      </w:r>
    </w:p>
    <w:p w14:paraId="1A06D60E" w14:textId="77777777" w:rsidR="00A479F8" w:rsidRPr="00BA3C5D" w:rsidRDefault="00A479F8" w:rsidP="00A479F8">
      <w:pPr>
        <w:pBdr>
          <w:top w:val="nil"/>
          <w:left w:val="nil"/>
          <w:bottom w:val="nil"/>
          <w:right w:val="nil"/>
          <w:between w:val="nil"/>
        </w:pBdr>
        <w:spacing w:before="10"/>
        <w:rPr>
          <w:rFonts w:asciiTheme="majorHAnsi" w:hAnsiTheme="majorHAnsi" w:cstheme="majorHAnsi"/>
          <w:color w:val="000000"/>
        </w:rPr>
      </w:pPr>
    </w:p>
    <w:p w14:paraId="101DCB1F" w14:textId="001726C7" w:rsidR="00FC59B3" w:rsidRPr="00A479F8" w:rsidRDefault="00A479F8" w:rsidP="00A479F8">
      <w:pPr>
        <w:pBdr>
          <w:top w:val="nil"/>
          <w:left w:val="nil"/>
          <w:bottom w:val="nil"/>
          <w:right w:val="nil"/>
          <w:between w:val="nil"/>
        </w:pBdr>
        <w:ind w:left="103" w:right="4950"/>
      </w:pPr>
      <w:r w:rsidRPr="00BA3C5D">
        <w:rPr>
          <w:rFonts w:asciiTheme="majorHAnsi" w:hAnsiTheme="majorHAnsi" w:cstheme="majorHAnsi"/>
          <w:color w:val="000000"/>
        </w:rPr>
        <w:t>Matrícula:</w:t>
      </w:r>
    </w:p>
    <w:sectPr w:rsidR="00FC59B3" w:rsidRPr="00A479F8" w:rsidSect="00A479F8">
      <w:headerReference w:type="default" r:id="rId8"/>
      <w:footerReference w:type="default" r:id="rId9"/>
      <w:pgSz w:w="11906" w:h="16838"/>
      <w:pgMar w:top="1880" w:right="900" w:bottom="1276" w:left="1520" w:header="351" w:footer="4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5995A" w14:textId="77777777" w:rsidR="001A4D1E" w:rsidRDefault="001A4D1E">
      <w:r>
        <w:separator/>
      </w:r>
    </w:p>
  </w:endnote>
  <w:endnote w:type="continuationSeparator" w:id="0">
    <w:p w14:paraId="07EAA395" w14:textId="77777777" w:rsidR="001A4D1E" w:rsidRDefault="001A4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91A0F" w14:textId="77777777" w:rsidR="00A479F8" w:rsidRDefault="00A479F8" w:rsidP="00A479F8">
    <w:pPr>
      <w:pBdr>
        <w:top w:val="nil"/>
        <w:left w:val="nil"/>
        <w:bottom w:val="nil"/>
        <w:right w:val="nil"/>
        <w:between w:val="nil"/>
      </w:pBdr>
      <w:tabs>
        <w:tab w:val="center" w:pos="4252"/>
        <w:tab w:val="right" w:pos="8504"/>
      </w:tabs>
      <w:jc w:val="center"/>
      <w:rPr>
        <w:color w:val="000000"/>
        <w:sz w:val="16"/>
        <w:szCs w:val="16"/>
      </w:rPr>
    </w:pPr>
    <w:r>
      <w:rPr>
        <w:color w:val="000000"/>
        <w:sz w:val="16"/>
        <w:szCs w:val="16"/>
      </w:rPr>
      <w:t>Procuradoria-Geral do Município</w:t>
    </w:r>
  </w:p>
  <w:p w14:paraId="5A1969B8" w14:textId="77777777" w:rsidR="00A479F8" w:rsidRPr="007A5917" w:rsidRDefault="00A479F8" w:rsidP="00A479F8">
    <w:pPr>
      <w:pBdr>
        <w:top w:val="nil"/>
        <w:left w:val="nil"/>
        <w:bottom w:val="nil"/>
        <w:right w:val="nil"/>
        <w:between w:val="nil"/>
      </w:pBdr>
      <w:ind w:left="-1395" w:right="-855"/>
      <w:jc w:val="center"/>
      <w:rPr>
        <w:b/>
        <w:color w:val="000000"/>
        <w:sz w:val="16"/>
        <w:szCs w:val="16"/>
      </w:rPr>
    </w:pPr>
    <w:r>
      <w:rPr>
        <w:b/>
        <w:color w:val="000000"/>
        <w:sz w:val="16"/>
        <w:szCs w:val="16"/>
      </w:rPr>
      <w:t>Av. Brasil, 2001 / 1º andar - Centro - CEP: 36060-010 - Juiz de Fora - MG - Tel: (32) 3690 - 7251 - Fax: (320) 3690 - 7103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A902B" w14:textId="77777777" w:rsidR="001A4D1E" w:rsidRDefault="001A4D1E">
      <w:r>
        <w:separator/>
      </w:r>
    </w:p>
  </w:footnote>
  <w:footnote w:type="continuationSeparator" w:id="0">
    <w:p w14:paraId="1009F6EA" w14:textId="77777777" w:rsidR="001A4D1E" w:rsidRDefault="001A4D1E">
      <w:r>
        <w:continuationSeparator/>
      </w:r>
    </w:p>
  </w:footnote>
  <w:footnote w:id="1">
    <w:p w14:paraId="7168C5EA" w14:textId="77777777" w:rsidR="00812FD3" w:rsidRPr="00DB5D74" w:rsidRDefault="00812FD3" w:rsidP="00812FD3">
      <w:pPr>
        <w:pBdr>
          <w:top w:val="nil"/>
          <w:left w:val="nil"/>
          <w:bottom w:val="nil"/>
          <w:right w:val="nil"/>
          <w:between w:val="nil"/>
        </w:pBdr>
        <w:spacing w:before="9"/>
        <w:rPr>
          <w:color w:val="000000"/>
        </w:rPr>
      </w:pPr>
      <w:r>
        <w:rPr>
          <w:rStyle w:val="Refdenotaderodap"/>
          <w:rFonts w:eastAsiaTheme="minorEastAsia"/>
        </w:rPr>
        <w:footnoteRef/>
      </w:r>
      <w:r>
        <w:t xml:space="preserve"> </w:t>
      </w:r>
      <w:r>
        <w:rPr>
          <w:color w:val="000000"/>
        </w:rPr>
        <w:t>(S) Sim. (N) Não. (NA) Não se aplica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E1E3F" w14:textId="5C918BA5" w:rsidR="00FC59B3" w:rsidRDefault="00A479F8">
    <w:pPr>
      <w:widowControl/>
      <w:tabs>
        <w:tab w:val="center" w:pos="4252"/>
        <w:tab w:val="right" w:pos="8504"/>
      </w:tabs>
      <w:rPr>
        <w:color w:val="000000"/>
      </w:rPr>
    </w:pPr>
    <w:r>
      <w:rPr>
        <w:noProof/>
      </w:rPr>
      <w:drawing>
        <wp:anchor distT="0" distB="0" distL="0" distR="0" simplePos="0" relativeHeight="251659264" behindDoc="0" locked="0" layoutInCell="1" hidden="0" allowOverlap="1" wp14:anchorId="56A7140E" wp14:editId="50BEEED2">
          <wp:simplePos x="0" y="0"/>
          <wp:positionH relativeFrom="column">
            <wp:posOffset>2006600</wp:posOffset>
          </wp:positionH>
          <wp:positionV relativeFrom="paragraph">
            <wp:posOffset>-11760</wp:posOffset>
          </wp:positionV>
          <wp:extent cx="2006600" cy="711200"/>
          <wp:effectExtent l="0" t="0" r="0" b="0"/>
          <wp:wrapSquare wrapText="bothSides" distT="0" distB="0" distL="0" distR="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494" t="-1363" r="-494" b="-1363"/>
                  <a:stretch>
                    <a:fillRect/>
                  </a:stretch>
                </pic:blipFill>
                <pic:spPr>
                  <a:xfrm>
                    <a:off x="0" y="0"/>
                    <a:ext cx="2006600" cy="711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60C7D"/>
    <w:multiLevelType w:val="hybridMultilevel"/>
    <w:tmpl w:val="A83A6A9A"/>
    <w:lvl w:ilvl="0" w:tplc="04160001">
      <w:start w:val="1"/>
      <w:numFmt w:val="bullet"/>
      <w:lvlText w:val=""/>
      <w:lvlJc w:val="left"/>
      <w:pPr>
        <w:ind w:left="1007" w:hanging="360"/>
      </w:pPr>
      <w:rPr>
        <w:rFonts w:ascii="Symbol" w:hAnsi="Symbol" w:hint="default"/>
      </w:rPr>
    </w:lvl>
    <w:lvl w:ilvl="1" w:tplc="04160003" w:tentative="1">
      <w:start w:val="1"/>
      <w:numFmt w:val="bullet"/>
      <w:lvlText w:val="o"/>
      <w:lvlJc w:val="left"/>
      <w:pPr>
        <w:ind w:left="1727" w:hanging="360"/>
      </w:pPr>
      <w:rPr>
        <w:rFonts w:ascii="Courier New" w:hAnsi="Courier New" w:cs="Courier New" w:hint="default"/>
      </w:rPr>
    </w:lvl>
    <w:lvl w:ilvl="2" w:tplc="04160005" w:tentative="1">
      <w:start w:val="1"/>
      <w:numFmt w:val="bullet"/>
      <w:lvlText w:val=""/>
      <w:lvlJc w:val="left"/>
      <w:pPr>
        <w:ind w:left="2447" w:hanging="360"/>
      </w:pPr>
      <w:rPr>
        <w:rFonts w:ascii="Wingdings" w:hAnsi="Wingdings" w:hint="default"/>
      </w:rPr>
    </w:lvl>
    <w:lvl w:ilvl="3" w:tplc="04160001" w:tentative="1">
      <w:start w:val="1"/>
      <w:numFmt w:val="bullet"/>
      <w:lvlText w:val=""/>
      <w:lvlJc w:val="left"/>
      <w:pPr>
        <w:ind w:left="3167" w:hanging="360"/>
      </w:pPr>
      <w:rPr>
        <w:rFonts w:ascii="Symbol" w:hAnsi="Symbol" w:hint="default"/>
      </w:rPr>
    </w:lvl>
    <w:lvl w:ilvl="4" w:tplc="04160003" w:tentative="1">
      <w:start w:val="1"/>
      <w:numFmt w:val="bullet"/>
      <w:lvlText w:val="o"/>
      <w:lvlJc w:val="left"/>
      <w:pPr>
        <w:ind w:left="3887" w:hanging="360"/>
      </w:pPr>
      <w:rPr>
        <w:rFonts w:ascii="Courier New" w:hAnsi="Courier New" w:cs="Courier New" w:hint="default"/>
      </w:rPr>
    </w:lvl>
    <w:lvl w:ilvl="5" w:tplc="04160005" w:tentative="1">
      <w:start w:val="1"/>
      <w:numFmt w:val="bullet"/>
      <w:lvlText w:val=""/>
      <w:lvlJc w:val="left"/>
      <w:pPr>
        <w:ind w:left="4607" w:hanging="360"/>
      </w:pPr>
      <w:rPr>
        <w:rFonts w:ascii="Wingdings" w:hAnsi="Wingdings" w:hint="default"/>
      </w:rPr>
    </w:lvl>
    <w:lvl w:ilvl="6" w:tplc="04160001" w:tentative="1">
      <w:start w:val="1"/>
      <w:numFmt w:val="bullet"/>
      <w:lvlText w:val=""/>
      <w:lvlJc w:val="left"/>
      <w:pPr>
        <w:ind w:left="5327" w:hanging="360"/>
      </w:pPr>
      <w:rPr>
        <w:rFonts w:ascii="Symbol" w:hAnsi="Symbol" w:hint="default"/>
      </w:rPr>
    </w:lvl>
    <w:lvl w:ilvl="7" w:tplc="04160003" w:tentative="1">
      <w:start w:val="1"/>
      <w:numFmt w:val="bullet"/>
      <w:lvlText w:val="o"/>
      <w:lvlJc w:val="left"/>
      <w:pPr>
        <w:ind w:left="6047" w:hanging="360"/>
      </w:pPr>
      <w:rPr>
        <w:rFonts w:ascii="Courier New" w:hAnsi="Courier New" w:cs="Courier New" w:hint="default"/>
      </w:rPr>
    </w:lvl>
    <w:lvl w:ilvl="8" w:tplc="04160005" w:tentative="1">
      <w:start w:val="1"/>
      <w:numFmt w:val="bullet"/>
      <w:lvlText w:val=""/>
      <w:lvlJc w:val="left"/>
      <w:pPr>
        <w:ind w:left="67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9B3"/>
    <w:rsid w:val="0013492B"/>
    <w:rsid w:val="001A4D1E"/>
    <w:rsid w:val="00201810"/>
    <w:rsid w:val="00292467"/>
    <w:rsid w:val="002D7ECB"/>
    <w:rsid w:val="004B2594"/>
    <w:rsid w:val="004B5C9B"/>
    <w:rsid w:val="004E59F9"/>
    <w:rsid w:val="005163A2"/>
    <w:rsid w:val="005B5EF8"/>
    <w:rsid w:val="00601B08"/>
    <w:rsid w:val="006536FB"/>
    <w:rsid w:val="00713055"/>
    <w:rsid w:val="00812FD3"/>
    <w:rsid w:val="00A46D7E"/>
    <w:rsid w:val="00A479F8"/>
    <w:rsid w:val="00AC42BB"/>
    <w:rsid w:val="00C02FB2"/>
    <w:rsid w:val="00C21854"/>
    <w:rsid w:val="00E71520"/>
    <w:rsid w:val="00FA22FB"/>
    <w:rsid w:val="00FC59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37E65"/>
  <w15:docId w15:val="{96656F2B-CA6E-42E6-B861-AADB28A45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182"/>
      <w:jc w:val="center"/>
      <w:outlineLvl w:val="0"/>
    </w:pPr>
    <w:rPr>
      <w:b/>
      <w:sz w:val="20"/>
      <w:szCs w:val="2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spacing w:before="240" w:after="120"/>
    </w:pPr>
    <w:rPr>
      <w:rFonts w:ascii="Liberation Sans" w:eastAsia="Liberation Sans" w:hAnsi="Liberation Sans" w:cs="Liberation Sans"/>
      <w:sz w:val="28"/>
      <w:szCs w:val="2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A479F8"/>
    <w:pPr>
      <w:tabs>
        <w:tab w:val="center" w:pos="4252"/>
        <w:tab w:val="right" w:pos="8504"/>
      </w:tabs>
    </w:pPr>
  </w:style>
  <w:style w:type="character" w:customStyle="1" w:styleId="CabealhoChar">
    <w:name w:val="Cabeçalho Char"/>
    <w:basedOn w:val="Fontepargpadro"/>
    <w:link w:val="Cabealho"/>
    <w:uiPriority w:val="99"/>
    <w:rsid w:val="00A479F8"/>
  </w:style>
  <w:style w:type="paragraph" w:styleId="Rodap">
    <w:name w:val="footer"/>
    <w:basedOn w:val="Normal"/>
    <w:link w:val="RodapChar"/>
    <w:uiPriority w:val="99"/>
    <w:unhideWhenUsed/>
    <w:rsid w:val="00A479F8"/>
    <w:pPr>
      <w:tabs>
        <w:tab w:val="center" w:pos="4252"/>
        <w:tab w:val="right" w:pos="8504"/>
      </w:tabs>
    </w:pPr>
  </w:style>
  <w:style w:type="character" w:customStyle="1" w:styleId="RodapChar">
    <w:name w:val="Rodapé Char"/>
    <w:basedOn w:val="Fontepargpadro"/>
    <w:link w:val="Rodap"/>
    <w:uiPriority w:val="99"/>
    <w:rsid w:val="00A479F8"/>
  </w:style>
  <w:style w:type="character" w:styleId="Refdenotaderodap">
    <w:name w:val="footnote reference"/>
    <w:basedOn w:val="Fontepargpadro"/>
    <w:uiPriority w:val="99"/>
    <w:semiHidden/>
    <w:unhideWhenUsed/>
    <w:rsid w:val="00812FD3"/>
    <w:rPr>
      <w:vertAlign w:val="superscript"/>
    </w:rPr>
  </w:style>
  <w:style w:type="paragraph" w:styleId="Corpodetexto">
    <w:name w:val="Body Text"/>
    <w:basedOn w:val="Normal"/>
    <w:link w:val="CorpodetextoChar"/>
    <w:uiPriority w:val="1"/>
    <w:qFormat/>
    <w:rsid w:val="00812FD3"/>
    <w:pPr>
      <w:autoSpaceDE w:val="0"/>
      <w:autoSpaceDN w:val="0"/>
      <w:adjustRightInd w:val="0"/>
    </w:pPr>
    <w:rPr>
      <w:rFonts w:ascii="Times New Roman" w:eastAsiaTheme="minorEastAsia" w:hAnsi="Times New Roman" w:cs="Times New Roman"/>
      <w:i/>
      <w:iCs/>
      <w:sz w:val="18"/>
      <w:szCs w:val="18"/>
      <w:lang w:val="pt-BR"/>
    </w:rPr>
  </w:style>
  <w:style w:type="character" w:customStyle="1" w:styleId="CorpodetextoChar">
    <w:name w:val="Corpo de texto Char"/>
    <w:basedOn w:val="Fontepargpadro"/>
    <w:link w:val="Corpodetexto"/>
    <w:uiPriority w:val="1"/>
    <w:rsid w:val="00812FD3"/>
    <w:rPr>
      <w:rFonts w:ascii="Times New Roman" w:eastAsiaTheme="minorEastAsia" w:hAnsi="Times New Roman" w:cs="Times New Roman"/>
      <w:i/>
      <w:iCs/>
      <w:sz w:val="18"/>
      <w:szCs w:val="18"/>
      <w:lang w:val="pt-BR"/>
    </w:rPr>
  </w:style>
  <w:style w:type="paragraph" w:styleId="PargrafodaLista">
    <w:name w:val="List Paragraph"/>
    <w:basedOn w:val="Normal"/>
    <w:uiPriority w:val="34"/>
    <w:qFormat/>
    <w:rsid w:val="00C02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Lcb94qSvMvi6Z+qhQNPWHvcFOg==">CgMxLjA4AHIhMUlDMGFpQkIyaXowd3QtZDlkRDdGUDFzcUtxRld5VUJa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580</Words>
  <Characters>3137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14</cp:revision>
  <dcterms:created xsi:type="dcterms:W3CDTF">2023-12-29T19:14:00Z</dcterms:created>
  <dcterms:modified xsi:type="dcterms:W3CDTF">2024-01-03T13:53:00Z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LastSaved">
    <vt:lpwstr>2019-02-10T00:00:00Z</vt:lpwstr>
  </property>
  <property fmtid="{D5CDD505-2E9C-101B-9397-08002B2CF9AE}" pid="4" name="ScaleCrop">
    <vt:lpwstr>false</vt:lpwstr>
  </property>
  <property fmtid="{D5CDD505-2E9C-101B-9397-08002B2CF9AE}" pid="5" name="DocSecurity">
    <vt:lpwstr>0</vt:lpwstr>
  </property>
  <property fmtid="{D5CDD505-2E9C-101B-9397-08002B2CF9AE}" pid="6" name="HyperlinksChanged">
    <vt:lpwstr>false</vt:lpwstr>
  </property>
  <property fmtid="{D5CDD505-2E9C-101B-9397-08002B2CF9AE}" pid="7" name="LinksUpToDate">
    <vt:lpwstr>false</vt:lpwstr>
  </property>
  <property fmtid="{D5CDD505-2E9C-101B-9397-08002B2CF9AE}" pid="8" name="Creator">
    <vt:lpwstr>Microsoft® Word 2010</vt:lpwstr>
  </property>
  <property fmtid="{D5CDD505-2E9C-101B-9397-08002B2CF9AE}" pid="9" name="ShareDoc">
    <vt:lpwstr>false</vt:lpwstr>
  </property>
  <property fmtid="{D5CDD505-2E9C-101B-9397-08002B2CF9AE}" pid="10" name="Created">
    <vt:lpwstr>2018-08-01T00:00:00Z</vt:lpwstr>
  </property>
</Properties>
</file>